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09/01/2025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60" w:type="dxa"/>
            <w:vAlign w:val="bottom"/>
            <w:gridSpan w:val="7"/>
          </w:tcPr>
          <w:p>
            <w:pPr>
              <w:ind w:left="160"/>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14"/>
                <w:szCs w:val="14"/>
                <w:color w:val="auto"/>
              </w:rPr>
            </w:pP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3560" w:type="dxa"/>
            <w:vAlign w:val="bottom"/>
            <w:tcBorders>
              <w:bottom w:val="single" w:sz="8" w:color="2C2C2C"/>
            </w:tcBorders>
            <w:gridSpan w:val="8"/>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gridSpan w:val="3"/>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09/01/2025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195"/>
              <w:spacing w:after="0"/>
              <w:rPr>
                <w:sz w:val="20"/>
                <w:szCs w:val="20"/>
                <w:color w:val="auto"/>
              </w:rPr>
            </w:pPr>
            <w:r>
              <w:rPr>
                <w:rFonts w:ascii="Times New Roman" w:cs="Times New Roman" w:eastAsia="Times New Roman" w:hAnsi="Times New Roman"/>
                <w:sz w:val="17"/>
                <w:szCs w:val="17"/>
                <w:color w:val="0000FF"/>
              </w:rPr>
              <w:t>717</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0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4,474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95"/>
              <w:spacing w:after="0"/>
              <w:rPr>
                <w:sz w:val="20"/>
                <w:szCs w:val="20"/>
                <w:color w:val="auto"/>
              </w:rPr>
            </w:pPr>
            <w:r>
              <w:rPr>
                <w:rFonts w:ascii="Times New Roman" w:cs="Times New Roman" w:eastAsia="Times New Roman" w:hAnsi="Times New Roman"/>
                <w:sz w:val="17"/>
                <w:szCs w:val="17"/>
                <w:color w:val="0000FF"/>
              </w:rPr>
              <w:t>378</w:t>
            </w:r>
          </w:p>
        </w:tc>
        <w:tc>
          <w:tcPr>
            <w:tcW w:w="146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125.8096</w:t>
            </w:r>
            <w:r>
              <w:rPr>
                <w:rFonts w:ascii="Times New Roman" w:cs="Times New Roman" w:eastAsia="Times New Roman" w:hAnsi="Times New Roman"/>
                <w:sz w:val="21"/>
                <w:szCs w:val="21"/>
                <w:color w:val="008000"/>
                <w:vertAlign w:val="superscript"/>
              </w:rPr>
              <w:t>(3)</w:t>
            </w:r>
          </w:p>
        </w:tc>
        <w:tc>
          <w:tcPr>
            <w:tcW w:w="114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4,096</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717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09/01/2025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717</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2,869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$125.80 to $126.2050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1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sales, in addition to the 4,096 shares of Class A common stock beneficially owned by the Reporting Person, the Reporting Person beneficially owned restricted stock units ("RSUs") representing contingent rights to receive up to an aggregate of 134,292 shares of Class A common stock and options to purchase up to an aggregate of 27,152 shares of Class A common stock, which RSUs and options vest according to their respective terms.</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2025-09-03T17:33:13Z</dcterms:created>
  <dcterms:modified xsi:type="dcterms:W3CDTF">2025-09-03T17:33:13Z</dcterms:modified>
</cp:coreProperties>
</file>