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333-267112</w:t>
      </w:r>
    </w:p>
    <w:p>
      <w:pPr>
        <w:spacing w:after="0" w:line="41"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F1665F"/>
        </w:rPr>
        <w:t>The information in this preliminary prospectus supplement is not complete and may be changed. This preliminary prospectus supplement and the accompanying prospectus are part of an effective registration statement filed with the Securities and Exchange Commission. This preliminary prospectus supplement and the accompanying prospectus are not an offer to sell these securities and are not soliciting an offer to buy these securities in any jurisdiction where the offer or sale is not permitted.</w:t>
      </w:r>
    </w:p>
    <w:p>
      <w:pPr>
        <w:spacing w:after="0" w:line="14"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F1665F"/>
        </w:rPr>
        <w:t>SUBJECT TO COMPLETION, DATED JANUARY 26, 2023</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5715</wp:posOffset>
            </wp:positionV>
            <wp:extent cx="206565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64770</wp:posOffset>
            </wp:positionV>
            <wp:extent cx="68922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172" w:lineRule="exact"/>
        <w:rPr>
          <w:sz w:val="24"/>
          <w:szCs w:val="24"/>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We are offering</w:t>
      </w:r>
      <w:r>
        <w:rPr>
          <w:sz w:val="20"/>
          <w:szCs w:val="20"/>
          <w:color w:val="auto"/>
        </w:rPr>
        <w:tab/>
      </w:r>
      <w:r>
        <w:rPr>
          <w:rFonts w:ascii="Times New Roman" w:cs="Times New Roman" w:eastAsia="Times New Roman" w:hAnsi="Times New Roman"/>
          <w:sz w:val="17"/>
          <w:szCs w:val="17"/>
          <w:color w:val="auto"/>
        </w:rPr>
        <w:t>shares of our Class A common stock (“Class A common stock”)</w:t>
      </w:r>
    </w:p>
    <w:p>
      <w:pPr>
        <w:spacing w:after="0" w:line="117"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Class A common stock is traded on The Nasdaq Global Select Market (the “Nasdaq”) under the symbol “WGS.” On January 26, 2023, the last reported sales price of our Class A common stock was $0.37 per share. The actual offering price per share of Class A common stock will be as determined between us and the underwriter at the time of pricing. We are an “emerging growth company” and a “smaller reporting company” as those terms are defined under federal securities laws and, as such, we have elected to comply with certain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referenced under the heading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b w:val="1"/>
          <w:bCs w:val="1"/>
          <w:u w:val="single" w:color="auto"/>
          <w:color w:val="0000FF"/>
        </w:rPr>
        <w:t>S-8</w:t>
      </w:r>
      <w:r>
        <w:rPr>
          <w:rFonts w:ascii="Times New Roman" w:cs="Times New Roman" w:eastAsia="Times New Roman" w:hAnsi="Times New Roman"/>
          <w:sz w:val="18"/>
          <w:szCs w:val="18"/>
          <w:b w:val="1"/>
          <w:bCs w:val="1"/>
          <w:color w:val="auto"/>
        </w:rPr>
        <w:t xml:space="preserve"> of this prospectus supplement , as well as the sections entitled “Risk Factors” beginning on page 30 of our Annual Report on Form 10-K for the year ended December 31, 2021, beginning on page 46 of our Quarterly Report on Form 10-Q for the quarter ended March 31, 2022, beginning on page 60 of our Quarterly Report on Form 10-Q for the quarter ended June 30, 2022, and beginning on page 62 of our Quarterly Report on Form 10-Q for the quarter ended September 30, 2022, which reports are incorporated by reference in this prospectus supplement and the accompanying prospectus, before investing in our securities.</w:t>
      </w:r>
    </w:p>
    <w:p>
      <w:pPr>
        <w:spacing w:after="0" w:line="74" w:lineRule="exact"/>
        <w:rPr>
          <w:sz w:val="24"/>
          <w:szCs w:val="24"/>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tbl>
      <w:tblPr>
        <w:tblLayout w:type="fixed"/>
        <w:tblInd w:w="8480" w:type="dxa"/>
        <w:tblCellMar>
          <w:top w:w="0" w:type="dxa"/>
          <w:left w:w="0" w:type="dxa"/>
          <w:bottom w:w="0" w:type="dxa"/>
          <w:right w:w="0" w:type="dxa"/>
        </w:tblCellMar>
      </w:tblPr>
      <w:tr>
        <w:trPr>
          <w:trHeight w:val="161"/>
        </w:trPr>
        <w:tc>
          <w:tcPr>
            <w:tcW w:w="160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Per Share of Class A</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0"/>
        </w:trPr>
        <w:tc>
          <w:tcPr>
            <w:tcW w:w="160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price</w:t>
            </w: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r>
      <w:tr>
        <w:trPr>
          <w:trHeight w:val="229"/>
        </w:trPr>
        <w:tc>
          <w:tcPr>
            <w:tcW w:w="8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to GeneDx Holdings Corp. (before expenses)</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“Underwriting” for a description of the compensation payable to the underwriter.</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have granted the underwriter an option for a period of 30 days from the date of this prospectus supplement to purchase up to an additional ____ shares</w:t>
      </w:r>
    </w:p>
    <w:p>
      <w:pPr>
        <w:spacing w:after="0" w:line="27" w:lineRule="exact"/>
        <w:rPr>
          <w:sz w:val="24"/>
          <w:szCs w:val="24"/>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of Class A common stock. If the underwriter exercises its option in full, the total underwriting discounts and commissions payable by us will be $ and the total proceeds to us, before expenses, will be $ .</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are offering to sell directly to institutional investors affiliated with Keith Meister, a member of our board of directors, in a concurrent registered direct</w:t>
      </w:r>
    </w:p>
    <w:p>
      <w:pPr>
        <w:spacing w:after="0" w:line="27"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offering, shares of our Class A common stock at an offering price of $ per share, equal to the public offering price of this offering. We refer to this transaction as the concurrent registered direct offering. This offering is not contingent on the closing of the concurrent registered direct offering. See “</w:t>
      </w:r>
      <w:r>
        <w:rPr>
          <w:rFonts w:ascii="Times New Roman" w:cs="Times New Roman" w:eastAsia="Times New Roman" w:hAnsi="Times New Roman"/>
          <w:sz w:val="18"/>
          <w:szCs w:val="18"/>
          <w:u w:val="single" w:color="auto"/>
          <w:color w:val="0000FF"/>
        </w:rPr>
        <w:t>Underwriting</w:t>
      </w:r>
      <w:r>
        <w:rPr>
          <w:rFonts w:ascii="Times New Roman" w:cs="Times New Roman" w:eastAsia="Times New Roman" w:hAnsi="Times New Roman"/>
          <w:sz w:val="18"/>
          <w:szCs w:val="18"/>
          <w:color w:val="auto"/>
        </w:rPr>
        <w:t>” for more information.</w:t>
      </w:r>
    </w:p>
    <w:p>
      <w:pPr>
        <w:spacing w:after="0" w:line="74" w:lineRule="exact"/>
        <w:rPr>
          <w:sz w:val="24"/>
          <w:szCs w:val="24"/>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on the adequacy or accuracy of this prospectus. Any representation to the contrary is a criminal offense.</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Delivery of securities being offered pursuant to this prospectus supplement and accompanying prospectus will be made on or about</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2023, subject to</w:t>
            </w:r>
          </w:p>
        </w:tc>
      </w:t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satisfaction of certain closing conditions.</w:t>
            </w:r>
          </w:p>
        </w:tc>
        <w:tc>
          <w:tcPr>
            <w:tcW w:w="1560" w:type="dxa"/>
            <w:vAlign w:val="bottom"/>
          </w:tcPr>
          <w:p>
            <w:pPr>
              <w:spacing w:after="0"/>
              <w:rPr>
                <w:sz w:val="20"/>
                <w:szCs w:val="20"/>
                <w:color w:val="auto"/>
              </w:rPr>
            </w:pPr>
          </w:p>
        </w:tc>
      </w:tr>
      <w:tr>
        <w:trPr>
          <w:trHeight w:val="81"/>
        </w:trPr>
        <w:tc>
          <w:tcPr>
            <w:tcW w:w="96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Jefferies</w:t>
      </w:r>
    </w:p>
    <w:p>
      <w:pPr>
        <w:spacing w:after="0" w:line="189" w:lineRule="exact"/>
        <w:rPr>
          <w:sz w:val="24"/>
          <w:szCs w:val="24"/>
          <w:color w:val="auto"/>
        </w:rPr>
      </w:pPr>
    </w:p>
    <w:tbl>
      <w:tblPr>
        <w:tblLayout w:type="fixed"/>
        <w:tblInd w:w="346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2023.</w:t>
            </w:r>
          </w:p>
        </w:tc>
      </w:tr>
    </w:tbl>
    <w:p>
      <w:pPr>
        <w:sectPr>
          <w:pgSz w:w="11900" w:h="16838" w:orient="portrait"/>
          <w:cols w:equalWidth="0" w:num="1">
            <w:col w:w="11240"/>
          </w:cols>
          <w:pgMar w:left="320" w:top="1035" w:right="339" w:bottom="1440"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8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1036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ABOUT THIS PROSPECTUS SUPPLEMENT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7"/>
              </w:rPr>
              <w:t>S-1</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PROSPECTUS SUPPLEMENT SUMMARY</w:t>
            </w:r>
          </w:p>
        </w:tc>
        <w:tc>
          <w:tcPr>
            <w:tcW w:w="140" w:type="dxa"/>
            <w:vAlign w:val="bottom"/>
          </w:tcPr>
          <w:p>
            <w:pPr>
              <w:spacing w:after="0"/>
              <w:rPr>
                <w:sz w:val="18"/>
                <w:szCs w:val="18"/>
                <w:color w:val="auto"/>
              </w:rPr>
            </w:pPr>
          </w:p>
        </w:tc>
        <w:tc>
          <w:tcPr>
            <w:tcW w:w="6920" w:type="dxa"/>
            <w:vAlign w:val="bottom"/>
            <w:gridSpan w:val="8"/>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7"/>
              </w:rPr>
              <w:t>S-3</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706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7"/>
              </w:rPr>
              <w:t>S-6</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9100" w:type="dxa"/>
            <w:vAlign w:val="bottom"/>
            <w:gridSpan w:val="19"/>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7"/>
              </w:rPr>
              <w:t>S-8</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PRO FORMA COMBINED FINANCIAL STATEMENTS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S-22</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S-27</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4200" w:type="dxa"/>
            <w:vAlign w:val="bottom"/>
            <w:gridSpan w:val="14"/>
          </w:tcPr>
          <w:p>
            <w:pPr>
              <w:spacing w:after="0"/>
              <w:rPr>
                <w:sz w:val="18"/>
                <w:szCs w:val="18"/>
                <w:color w:val="auto"/>
              </w:rPr>
            </w:pPr>
          </w:p>
        </w:tc>
        <w:tc>
          <w:tcPr>
            <w:tcW w:w="45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S-29</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DESCRIPTION OF THE SECURITIES WE ARE OFFERING</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S-30</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DIVIDEND POLICY</w:t>
            </w:r>
          </w:p>
        </w:tc>
        <w:tc>
          <w:tcPr>
            <w:tcW w:w="2980" w:type="dxa"/>
            <w:vAlign w:val="bottom"/>
            <w:gridSpan w:val="11"/>
          </w:tcPr>
          <w:p>
            <w:pPr>
              <w:spacing w:after="0"/>
              <w:rPr>
                <w:sz w:val="18"/>
                <w:szCs w:val="18"/>
                <w:color w:val="auto"/>
              </w:rPr>
            </w:pPr>
          </w:p>
        </w:tc>
        <w:tc>
          <w:tcPr>
            <w:tcW w:w="580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S-31</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CAPITALIZATION</w:t>
            </w:r>
          </w:p>
        </w:tc>
        <w:tc>
          <w:tcPr>
            <w:tcW w:w="120" w:type="dxa"/>
            <w:vAlign w:val="bottom"/>
          </w:tcPr>
          <w:p>
            <w:pPr>
              <w:spacing w:after="0"/>
              <w:rPr>
                <w:sz w:val="18"/>
                <w:szCs w:val="18"/>
                <w:color w:val="auto"/>
              </w:rPr>
            </w:pPr>
          </w:p>
        </w:tc>
        <w:tc>
          <w:tcPr>
            <w:tcW w:w="8780" w:type="dxa"/>
            <w:vAlign w:val="bottom"/>
            <w:gridSpan w:val="16"/>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S-32</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DILUTION</w:t>
            </w:r>
          </w:p>
        </w:tc>
        <w:tc>
          <w:tcPr>
            <w:tcW w:w="600" w:type="dxa"/>
            <w:vAlign w:val="bottom"/>
            <w:gridSpan w:val="3"/>
          </w:tcPr>
          <w:p>
            <w:pPr>
              <w:spacing w:after="0"/>
              <w:rPr>
                <w:sz w:val="18"/>
                <w:szCs w:val="18"/>
                <w:color w:val="auto"/>
              </w:rPr>
            </w:pPr>
          </w:p>
        </w:tc>
        <w:tc>
          <w:tcPr>
            <w:tcW w:w="8900" w:type="dxa"/>
            <w:vAlign w:val="bottom"/>
            <w:gridSpan w:val="17"/>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S-33</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9500" w:type="dxa"/>
            <w:vAlign w:val="bottom"/>
            <w:gridSpan w:val="20"/>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S-35</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w:t>
            </w:r>
          </w:p>
        </w:tc>
        <w:tc>
          <w:tcPr>
            <w:tcW w:w="560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S-54</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UNDERWRITING</w:t>
            </w:r>
          </w:p>
        </w:tc>
        <w:tc>
          <w:tcPr>
            <w:tcW w:w="3360" w:type="dxa"/>
            <w:vAlign w:val="bottom"/>
            <w:gridSpan w:val="14"/>
          </w:tcPr>
          <w:p>
            <w:pPr>
              <w:spacing w:after="0"/>
              <w:rPr>
                <w:sz w:val="18"/>
                <w:szCs w:val="18"/>
                <w:color w:val="auto"/>
              </w:rPr>
            </w:pPr>
          </w:p>
        </w:tc>
        <w:tc>
          <w:tcPr>
            <w:tcW w:w="560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S-59</w:t>
            </w: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S-69</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4"/>
          </w:tcPr>
          <w:p>
            <w:pPr>
              <w:spacing w:after="0"/>
              <w:rPr>
                <w:sz w:val="18"/>
                <w:szCs w:val="18"/>
                <w:color w:val="auto"/>
              </w:rPr>
            </w:pPr>
          </w:p>
        </w:tc>
        <w:tc>
          <w:tcPr>
            <w:tcW w:w="8900" w:type="dxa"/>
            <w:vAlign w:val="bottom"/>
            <w:gridSpan w:val="17"/>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S-69</w:t>
            </w:r>
          </w:p>
        </w:tc>
      </w:tr>
      <w:tr>
        <w:trPr>
          <w:trHeight w:val="20"/>
        </w:trPr>
        <w:tc>
          <w:tcPr>
            <w:tcW w:w="780" w:type="dxa"/>
            <w:vAlign w:val="bottom"/>
            <w:shd w:val="clear" w:color="auto" w:fill="0000FF"/>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3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S-69</w:t>
            </w:r>
          </w:p>
        </w:tc>
      </w:tr>
      <w:tr>
        <w:trPr>
          <w:trHeight w:val="529"/>
        </w:trPr>
        <w:tc>
          <w:tcPr>
            <w:tcW w:w="67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22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14"/>
          </w:tcPr>
          <w:p>
            <w:pPr>
              <w:spacing w:after="0"/>
              <w:rPr>
                <w:sz w:val="16"/>
                <w:szCs w:val="16"/>
                <w:color w:val="auto"/>
              </w:rPr>
            </w:pPr>
          </w:p>
        </w:tc>
        <w:tc>
          <w:tcPr>
            <w:tcW w:w="860" w:type="dxa"/>
            <w:vAlign w:val="bottom"/>
            <w:gridSpan w:val="5"/>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SELECTED DEFINITIONS</w:t>
            </w:r>
          </w:p>
        </w:tc>
        <w:tc>
          <w:tcPr>
            <w:tcW w:w="180" w:type="dxa"/>
            <w:vAlign w:val="bottom"/>
          </w:tcPr>
          <w:p>
            <w:pPr>
              <w:spacing w:after="0"/>
              <w:rPr>
                <w:sz w:val="18"/>
                <w:szCs w:val="18"/>
                <w:color w:val="auto"/>
              </w:rPr>
            </w:pPr>
          </w:p>
        </w:tc>
        <w:tc>
          <w:tcPr>
            <w:tcW w:w="8120" w:type="dxa"/>
            <w:vAlign w:val="bottom"/>
            <w:gridSpan w:val="14"/>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300" w:type="dxa"/>
            <w:vAlign w:val="bottom"/>
            <w:gridSpan w:val="15"/>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800" w:type="dxa"/>
            <w:vAlign w:val="bottom"/>
            <w:gridSpan w:val="4"/>
          </w:tcPr>
          <w:p>
            <w:pPr>
              <w:spacing w:after="0"/>
              <w:rPr>
                <w:sz w:val="18"/>
                <w:szCs w:val="18"/>
                <w:color w:val="auto"/>
              </w:rPr>
            </w:pPr>
          </w:p>
        </w:tc>
        <w:tc>
          <w:tcPr>
            <w:tcW w:w="8300" w:type="dxa"/>
            <w:vAlign w:val="bottom"/>
            <w:gridSpan w:val="15"/>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260" w:type="dxa"/>
            <w:vAlign w:val="bottom"/>
            <w:gridSpan w:val="3"/>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960" w:type="dxa"/>
            <w:vAlign w:val="bottom"/>
            <w:gridSpan w:val="4"/>
          </w:tcPr>
          <w:p>
            <w:pPr>
              <w:spacing w:after="0"/>
              <w:rPr>
                <w:sz w:val="18"/>
                <w:szCs w:val="18"/>
                <w:color w:val="auto"/>
              </w:rPr>
            </w:pPr>
          </w:p>
        </w:tc>
        <w:tc>
          <w:tcPr>
            <w:tcW w:w="4580" w:type="dxa"/>
            <w:vAlign w:val="bottom"/>
            <w:gridSpan w:val="2"/>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INCORPORATION BY REFERENCE</w:t>
            </w:r>
          </w:p>
        </w:tc>
        <w:tc>
          <w:tcPr>
            <w:tcW w:w="6540" w:type="dxa"/>
            <w:vAlign w:val="bottom"/>
            <w:gridSpan w:val="6"/>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1240" w:type="dxa"/>
            <w:vAlign w:val="bottom"/>
            <w:gridSpan w:val="4"/>
          </w:tcPr>
          <w:p>
            <w:pPr>
              <w:spacing w:after="0"/>
              <w:rPr>
                <w:sz w:val="18"/>
                <w:szCs w:val="18"/>
                <w:color w:val="auto"/>
              </w:rPr>
            </w:pPr>
          </w:p>
        </w:tc>
        <w:tc>
          <w:tcPr>
            <w:tcW w:w="7540" w:type="dxa"/>
            <w:vAlign w:val="bottom"/>
            <w:gridSpan w:val="12"/>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10</w:t>
            </w:r>
          </w:p>
        </w:tc>
        <w:tc>
          <w:tcPr>
            <w:tcW w:w="20" w:type="dxa"/>
            <w:vAlign w:val="bottom"/>
          </w:tcPr>
          <w:p>
            <w:pPr>
              <w:spacing w:after="0"/>
              <w:rPr>
                <w:sz w:val="18"/>
                <w:szCs w:val="18"/>
                <w:color w:val="auto"/>
              </w:rPr>
            </w:pPr>
          </w:p>
        </w:tc>
      </w:tr>
      <w:tr>
        <w:trPr>
          <w:trHeight w:val="209"/>
        </w:trPr>
        <w:tc>
          <w:tcPr>
            <w:tcW w:w="2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8300" w:type="dxa"/>
            <w:vAlign w:val="bottom"/>
            <w:gridSpan w:val="15"/>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80" w:type="dxa"/>
            <w:vAlign w:val="bottom"/>
            <w:gridSpan w:val="11"/>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13</w:t>
            </w:r>
          </w:p>
        </w:tc>
        <w:tc>
          <w:tcPr>
            <w:tcW w:w="20" w:type="dxa"/>
            <w:vAlign w:val="bottom"/>
          </w:tcPr>
          <w:p>
            <w:pPr>
              <w:spacing w:after="0"/>
              <w:rPr>
                <w:sz w:val="18"/>
                <w:szCs w:val="18"/>
                <w:color w:val="auto"/>
              </w:rPr>
            </w:pPr>
          </w:p>
        </w:tc>
      </w:tr>
      <w:tr>
        <w:trPr>
          <w:trHeight w:val="210"/>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r>
      <w:tr>
        <w:trPr>
          <w:trHeight w:val="210"/>
        </w:trPr>
        <w:tc>
          <w:tcPr>
            <w:tcW w:w="30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340" w:type="dxa"/>
            <w:vAlign w:val="bottom"/>
            <w:gridSpan w:val="10"/>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24</w:t>
            </w:r>
          </w:p>
        </w:tc>
        <w:tc>
          <w:tcPr>
            <w:tcW w:w="20" w:type="dxa"/>
            <w:vAlign w:val="bottom"/>
          </w:tcPr>
          <w:p>
            <w:pPr>
              <w:spacing w:after="0"/>
              <w:rPr>
                <w:sz w:val="18"/>
                <w:szCs w:val="18"/>
                <w:color w:val="auto"/>
              </w:rPr>
            </w:pP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68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DESCRIPTION OF SUBSCRIPTION RIGHTS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r>
      <w:tr>
        <w:trPr>
          <w:trHeight w:val="210"/>
        </w:trPr>
        <w:tc>
          <w:tcPr>
            <w:tcW w:w="34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DESCRIPTION OF UNITS</w:t>
            </w:r>
          </w:p>
        </w:tc>
        <w:tc>
          <w:tcPr>
            <w:tcW w:w="6900" w:type="dxa"/>
            <w:vAlign w:val="bottom"/>
            <w:gridSpan w:val="7"/>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31</w:t>
            </w:r>
          </w:p>
        </w:tc>
        <w:tc>
          <w:tcPr>
            <w:tcW w:w="20" w:type="dxa"/>
            <w:vAlign w:val="bottom"/>
          </w:tcPr>
          <w:p>
            <w:pPr>
              <w:spacing w:after="0"/>
              <w:rPr>
                <w:sz w:val="18"/>
                <w:szCs w:val="18"/>
                <w:color w:val="auto"/>
              </w:rPr>
            </w:pPr>
          </w:p>
        </w:tc>
      </w:tr>
      <w:tr>
        <w:trPr>
          <w:trHeight w:val="210"/>
        </w:trPr>
        <w:tc>
          <w:tcPr>
            <w:tcW w:w="20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15"/>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4"/>
          </w:tcPr>
          <w:p>
            <w:pPr>
              <w:spacing w:after="0"/>
              <w:rPr>
                <w:sz w:val="18"/>
                <w:szCs w:val="18"/>
                <w:color w:val="auto"/>
              </w:rPr>
            </w:pPr>
          </w:p>
        </w:tc>
        <w:tc>
          <w:tcPr>
            <w:tcW w:w="8900" w:type="dxa"/>
            <w:vAlign w:val="bottom"/>
            <w:gridSpan w:val="17"/>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r>
    </w:tbl>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document is part of the registration statement on Form S-3 that we filed with the Securities and Exchange Commission (the “SEC”) using a “shelf” registration process and consists of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only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prospectus supplement describes the terms of this offering of Class A common stock and also adds to and updates information contained in the documents incorporated by reference into this prospectus supplement and the accompanying prospectus. To the extent there is a conflict between the information contained in this prospectus supplement, on the one hand, and the information contained in any document incorporated by reference into this prospectus supplement and the accompanying prospectus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 and the accompanying prospectus—the statement in the document having the later date modifies or supersedes the earlier statement.</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You should rely only on this prospectus supplement, the accompanying prospectus and the information incorporated or deemed to be incorporated by reference in this prospectus supplement and the accompanying prospectus. We have not authorized, and the underwriter has not authorized, anyone to provide you with information that is in addition to or different from that contained or incorporated by reference in this prospectus supplement and the accompanying prospectus. If anyone provides you with different or inconsistent information, you should not rely on it, and neither we nor the underwriter takes any responsibility for, and provide no assurance as to the reliability of, any other information that others may give you.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the date of such documents regardless of the time of delivery of this prospectus supplement and the accompanying prospectus or any sale of our Class A common stock. Our business, financial condition, liquidity, results of operations and prospects may have changed since those dates.</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not offering to sell shares of our Class A common stock in any jurisdiction where the offer or sale is not permitted. The distribution of this prospectus supplement and the offering of the Class A common stock in certain jurisdictions may be restricted by law. Persons outside the United States who come into possession of this prospectus supplement must inform themselves about, and observe any restrictions relating to, the offering of the Class A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references in this prospectus supplement to:</w:t>
      </w:r>
    </w:p>
    <w:p>
      <w:pPr>
        <w:spacing w:after="0" w:line="171" w:lineRule="exact"/>
        <w:rPr>
          <w:sz w:val="20"/>
          <w:szCs w:val="20"/>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“GeneDx Holdings” refer to GeneDx Holdings Corp., a Delaware corporation (f/k/a Sema4 Holdings Corp. (“Sema4 Holdings”)), the issuer of the shares of Class A common stock in this offering and the concurrent registered direct offering;</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refer to GeneDx, LLC, a Delaware limited liability company (formerly, GeneDx, Inc., a New Jersey corporation), which we acquired on April 29, 2022 (the “Acquisition”);</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refer to Mount Sinai Genomics, Inc. d/b/a as Sema4, a Delaware corporation, which consummated the business combination with CM Life Sciences, Inc. (“CMLS”) on July 22, 2021 (the “Business Combination”);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20"/>
          </w:cols>
          <w:pgMar w:left="320" w:top="1440" w:right="359" w:bottom="1440" w:gutter="0" w:footer="0" w:header="0"/>
        </w:sectPr>
      </w:pPr>
    </w:p>
    <w:bookmarkStart w:id="3" w:name="page4"/>
    <w:bookmarkEnd w:id="3"/>
    <w:p>
      <w:pPr>
        <w:spacing w:after="0" w:line="14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the “Company” and “GeneDx” refer, as the context requires, to:</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prior to the Business Combination, and GeneDx Holdings and its consolidated subsidiaries following the consummation of the Business Combination; and</w:t>
      </w:r>
    </w:p>
    <w:p>
      <w:pPr>
        <w:spacing w:after="0" w:line="107"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prior to the Acquisition, and GeneDx Holdings and its consolidated subsidiaries following the consummation of the Acquisition.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as described in more detail herein, we are pursuing a new strategic direction focused on our whole exome and genome sequencing business coupled with our Centrellis data platform. We are in the process of exiting our reproductive and women’s health testing business, which we expect to complete by the end of the first quarter of 2023, and we also completed the exit of our somatic tumor testing services during the fourth quarter of 2022. For more information, see “</w:t>
      </w:r>
      <w:r>
        <w:rPr>
          <w:rFonts w:ascii="Times New Roman" w:cs="Times New Roman" w:eastAsia="Times New Roman" w:hAnsi="Times New Roman"/>
          <w:sz w:val="18"/>
          <w:szCs w:val="18"/>
          <w:i w:val="1"/>
          <w:iCs w:val="1"/>
          <w:color w:val="auto"/>
        </w:rPr>
        <w:t>Prospectus Supplement Summary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Sema4 Business Exits</w:t>
      </w:r>
      <w:r>
        <w:rPr>
          <w:rFonts w:ascii="Times New Roman" w:cs="Times New Roman" w:eastAsia="Times New Roman" w:hAnsi="Times New Roman"/>
          <w:sz w:val="18"/>
          <w:szCs w:val="18"/>
          <w:color w:val="auto"/>
        </w:rPr>
        <w:t>.” Unless the context otherwise requires, the description of our business and operations in this prospectus supplement assumes the completion of the exits from somatic tumor testing services and the reproductive and women’s health testing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00"/>
          </w:cols>
          <w:pgMar w:left="320" w:top="144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79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77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our Class A common stock . You should read the entire prospectus supplement and the accompanying prospectus and the information incorporated by reference herein and therein carefully, including “Risk Factors” and the financial statements and related notes incorporated by reference herein, before making an investment decision.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GeneDx is focused on delivering personalized and actionable health insights to inform diagnosis, direct treatment and improve drug discovery. We sit at the intersection of diagnostics and data science, pairing decades of genomic expertise with an ability to interpret clinical data at scale. We are uniquely positioned to accelerate the use of genomics and leverage large-scale clinical data to enable precision medicine as the standard of care.</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Legacy 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pediatric rare and ultra-rare genetic disorders. More than 20 years later, we have amassed one of the world’s largest rare disease data sets and remain a leader in genomics. In May 2022, Legacy GeneDx integrated with Sema4 Holdings, adding Centrellis®, a highly innovative health information platform to our portfolio of solutions. Centrellis® integrates digital tools and artificial intelligence and allows us to ingest and synthesize clinical and genomic data to deliver better, more comprehensive health insights.</w:t>
      </w:r>
    </w:p>
    <w:p>
      <w:pPr>
        <w:spacing w:after="0" w:line="13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Today, we are powered by our industry-leading genomic interpretation platform and Centrellis®, our innovative health information platform. We believe exome and genome testing will become the standard of care, transforming healthcare and improving patients’ quality of life for generations by sequencing once and analyzing for a lifetime.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were incorporated on July 10, 2020 as a special purpose acquisition company and a Delaware corporation under the name CM Life Sciences, Inc. On September 4, 2020, CMLS completed its initial public offering. On July 22, 2021, CMLS consummated the Business Combination with Legacy Sema4. In connection with the Business Combination, CMLS changed its name to Sema4 Holdings Corp. On January 9, 2023, Sema4 Holdings Corp. changed its name to GeneDx Holdings Corp.</w:t>
      </w:r>
    </w:p>
    <w:p>
      <w:pPr>
        <w:spacing w:after="0" w:line="12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address is 333 Ludlow Street, North Tower, 8th Floor, Stamford, Connecticut 06902. Our telephone number is +1 (800) 298-6470. Our website address is https://genedx.com. Information contained on our website or connected thereto does not constitute part of, and is not incorporated by reference into, this prospectus supplement or the registration statement of which it forms a part.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Sema4 Business Exits</w:t>
      </w:r>
    </w:p>
    <w:p>
      <w:pPr>
        <w:spacing w:after="0" w:line="17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On August 11, 2022, our board of directors approved a restructuring plan that contemplated exiting our somatic tumor testing services and the closing of our laboratory in Branford, CT, which we completed as of December 31, 2022. In connection with the plan, we also eliminated approximately 250 positions, representing about 13% of our workforce, which, combined with our prior reductions in force during 2022, resulted in the elimination of approximately 30% of the roles from the Legacy Sema4 business.</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November 14, 2022, we announced our plan to pursue a new strategic direction focused on our exome and genome sequencing business coupled with our Centrellis data platform. As part of our strategic realignment, on November 11, 2022, our board of directors approved our exit from the reproductive and women’s health testing business, which includes carrier screening, noninvasive prenatal, and other ancillary reproductive testing offerings. We ceased accepting samples for reproductive and women’s health tests on December 14, 2022 and notified our customers impacted by this decision immediately. We expect to exit the operations of the reproductive and women’s health testing services by the end of the first quarter of 2023. As a result of this business exit, we eliminated</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w:t>
      </w:r>
    </w:p>
    <w:p>
      <w:pPr>
        <w:sectPr>
          <w:pgSz w:w="11900" w:h="16838" w:orient="portrait"/>
          <w:cols w:equalWidth="0" w:num="1">
            <w:col w:w="9880"/>
          </w:cols>
          <w:pgMar w:left="1000" w:top="1440" w:right="101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07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approximately 500 positions, representing approximately 32.5% of our workforce, and ceased operations at our Stamford, CT laboratory. Our go-forward testing services will be consolidated and performed out of our Gaithersburg, MD laboratory which was primarily used for our pediatric and rare disease testing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Compliance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December 28, 2022, we received a written notice from the Listing Qualifications Department of The Nasdaq Stock Market, LLC that we were not in compliance with the minimum bid price requirements set forth in Nasdaq Listing Rule 5450(a)(1) (the “Minimum Bid Price Requirement”) for the last 30 consecutive trading days for continued listing on the Nasdaq Global Select Market (the “Nasdaq”). The Minimum Bid Price Requirement requires listed securities to maintain a minimum bid price of $1.00 per share, and Nasdaq Listing Rule 5810(c)(3)(A) provides that a failure to meet the Minimum Bid Price Requirement exists if the deficiency continues for a period of 30 consecutive trading days.</w:t>
      </w:r>
    </w:p>
    <w:p>
      <w:pPr>
        <w:spacing w:after="0" w:line="13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Pursuant to the Nasdaq Listing Rules, we have been provided an initial compliance period of 180 calendar days to regain compliance with the Minimum Bid Price Requirement. To regain compliance, the closing bid price of our Class A common stock must be at least $1.00 per share for a minimum of 10 consecutive trading days prior to June 26, 2023, and we must otherwise satisfy the Nasdaq’s requirements for listing.</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highlight w:val="white"/>
        </w:rPr>
        <w:t>We intend to monitor the closing bid price of our Class A common stock and consider our available options to resolve the noncompliance with the Minimum Bid Price Requirement. There can be no assurance that we will be able to regain compliance with the Nasdaq’s continued listing requirements or that Nasdaq will grant us a further extension of time to regain compliance, if applicable.</w:t>
      </w:r>
    </w:p>
    <w:p>
      <w:pPr>
        <w:spacing w:after="0" w:line="122" w:lineRule="exact"/>
        <w:rPr>
          <w:sz w:val="20"/>
          <w:szCs w:val="20"/>
          <w:color w:val="auto"/>
        </w:rPr>
      </w:pPr>
    </w:p>
    <w:p>
      <w:pPr>
        <w:ind w:right="1380"/>
        <w:spacing w:after="0" w:line="438" w:lineRule="auto"/>
        <w:rPr>
          <w:sz w:val="20"/>
          <w:szCs w:val="20"/>
          <w:color w:val="auto"/>
        </w:rPr>
      </w:pPr>
      <w:r>
        <w:rPr>
          <w:rFonts w:ascii="Times New Roman" w:cs="Times New Roman" w:eastAsia="Times New Roman" w:hAnsi="Times New Roman"/>
          <w:sz w:val="18"/>
          <w:szCs w:val="18"/>
          <w:color w:val="auto"/>
        </w:rPr>
        <w:t xml:space="preserve">Please see “Risk Factors” below for additional disclosure regarding our compliance with Nasdaq listing qualifications. </w:t>
      </w:r>
      <w:r>
        <w:rPr>
          <w:rFonts w:ascii="Times New Roman" w:cs="Times New Roman" w:eastAsia="Times New Roman" w:hAnsi="Times New Roman"/>
          <w:sz w:val="18"/>
          <w:szCs w:val="18"/>
          <w:b w:val="1"/>
          <w:bCs w:val="1"/>
          <w:i w:val="1"/>
          <w:iCs w:val="1"/>
          <w:color w:val="auto"/>
        </w:rPr>
        <w:t>Name Change</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9, 2023, we changed the name of the Company from “Sema4 Holdings Corp.” to “GeneDx Holdings Corp.” pursuant to a certificate of amendment to our certificate of incorporation. In conjunction with the name change, our Class A common stock and warrants also ceased trading under the ticker symbols “SMFR” and “SMFRW” and began trading under new ticker symbols, “WGS” and “WGSWW,” respectively, on the Nasdaq on January 10,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7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An emerging growth company may take advantage of reduced reporting requirements that are otherwise applicable to public companies. These provisions include, but are not limited to:</w:t>
      </w:r>
    </w:p>
    <w:p>
      <w:pPr>
        <w:spacing w:after="0" w:line="122" w:lineRule="exact"/>
        <w:rPr>
          <w:sz w:val="20"/>
          <w:szCs w:val="20"/>
          <w:color w:val="auto"/>
        </w:rPr>
      </w:pPr>
    </w:p>
    <w:p>
      <w:pPr>
        <w:ind w:left="640" w:right="240" w:hanging="322"/>
        <w:spacing w:after="0" w:line="26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disclosure in our periodic reports and registration statements</w:t>
      </w:r>
    </w:p>
    <w:p>
      <w:pPr>
        <w:spacing w:after="0" w:line="121" w:lineRule="exact"/>
        <w:rPr>
          <w:rFonts w:ascii="Times New Roman" w:cs="Times New Roman" w:eastAsia="Times New Roman" w:hAnsi="Times New Roman"/>
          <w:sz w:val="18"/>
          <w:szCs w:val="18"/>
          <w:color w:val="auto"/>
        </w:rPr>
      </w:pPr>
    </w:p>
    <w:p>
      <w:pPr>
        <w:ind w:left="640" w:right="32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on the effectiveness of our internal controls over financial reporting</w:t>
      </w:r>
    </w:p>
    <w:p>
      <w:pPr>
        <w:spacing w:after="0" w:line="107" w:lineRule="exact"/>
        <w:rPr>
          <w:rFonts w:ascii="Times New Roman" w:cs="Times New Roman" w:eastAsia="Times New Roman" w:hAnsi="Times New Roman"/>
          <w:sz w:val="18"/>
          <w:szCs w:val="18"/>
          <w:color w:val="auto"/>
        </w:rPr>
      </w:pPr>
    </w:p>
    <w:p>
      <w:pPr>
        <w:ind w:left="640" w:right="28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arrangements in our periodic reports, proxy statements and registration statements; and</w:t>
      </w:r>
    </w:p>
    <w:p>
      <w:pPr>
        <w:spacing w:after="0" w:line="107" w:lineRule="exact"/>
        <w:rPr>
          <w:rFonts w:ascii="Times New Roman" w:cs="Times New Roman" w:eastAsia="Times New Roman" w:hAnsi="Times New Roman"/>
          <w:sz w:val="18"/>
          <w:szCs w:val="18"/>
          <w:color w:val="auto"/>
        </w:rPr>
      </w:pPr>
    </w:p>
    <w:p>
      <w:pPr>
        <w:ind w:left="640" w:right="12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9900"/>
          </w:cols>
          <w:pgMar w:left="1000" w:top="1440" w:right="99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218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21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least $700 million of equity securities held by non-affiliates; (iii) the date on which we have issued, in any three-year period, more than $1.0 billion in non-convertible debt securities; and (iv) December 31, 2025.</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this offering and the concurrent registered direct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9860"/>
          </w:cols>
          <w:pgMar w:left="1000" w:top="1440" w:right="10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27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72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1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7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 by Us</w:t>
            </w:r>
          </w:p>
        </w:tc>
        <w:tc>
          <w:tcPr>
            <w:tcW w:w="2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We are offering</w:t>
            </w:r>
          </w:p>
        </w:tc>
        <w:tc>
          <w:tcPr>
            <w:tcW w:w="3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 of our Class A common stock.</w:t>
            </w:r>
          </w:p>
        </w:tc>
        <w:tc>
          <w:tcPr>
            <w:tcW w:w="0" w:type="dxa"/>
            <w:vAlign w:val="bottom"/>
          </w:tcPr>
          <w:p>
            <w:pPr>
              <w:spacing w:after="0"/>
              <w:rPr>
                <w:sz w:val="1"/>
                <w:szCs w:val="1"/>
                <w:color w:val="auto"/>
              </w:rPr>
            </w:pPr>
          </w:p>
        </w:tc>
      </w:tr>
      <w:tr>
        <w:trPr>
          <w:trHeight w:val="751"/>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Securities</w:t>
            </w:r>
          </w:p>
        </w:tc>
        <w:tc>
          <w:tcPr>
            <w:tcW w:w="60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We have granted the underwriter an option for a period of 30 days to</w:t>
            </w:r>
          </w:p>
        </w:tc>
        <w:tc>
          <w:tcPr>
            <w:tcW w:w="0" w:type="dxa"/>
            <w:vAlign w:val="bottom"/>
          </w:tcPr>
          <w:p>
            <w:pPr>
              <w:spacing w:after="0"/>
              <w:rPr>
                <w:sz w:val="1"/>
                <w:szCs w:val="1"/>
                <w:color w:val="auto"/>
              </w:rPr>
            </w:pPr>
          </w:p>
        </w:tc>
      </w:tr>
      <w:tr>
        <w:trPr>
          <w:trHeight w:val="229"/>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Concurrent Registered Direct Offering</w:t>
            </w:r>
          </w:p>
        </w:tc>
        <w:tc>
          <w:tcPr>
            <w:tcW w:w="29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purchase up to an additional</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of Class A common stock.</w:t>
            </w:r>
          </w:p>
        </w:tc>
        <w:tc>
          <w:tcPr>
            <w:tcW w:w="0" w:type="dxa"/>
            <w:vAlign w:val="bottom"/>
          </w:tcPr>
          <w:p>
            <w:pPr>
              <w:spacing w:after="0"/>
              <w:rPr>
                <w:sz w:val="1"/>
                <w:szCs w:val="1"/>
                <w:color w:val="auto"/>
              </w:rPr>
            </w:pPr>
          </w:p>
        </w:tc>
      </w:tr>
      <w:tr>
        <w:trPr>
          <w:trHeight w:val="189"/>
        </w:trPr>
        <w:tc>
          <w:tcPr>
            <w:tcW w:w="3680" w:type="dxa"/>
            <w:vAlign w:val="bottom"/>
            <w:vMerge w:val="continue"/>
          </w:tcPr>
          <w:p>
            <w:pPr>
              <w:spacing w:after="0"/>
              <w:rPr>
                <w:sz w:val="16"/>
                <w:szCs w:val="16"/>
                <w:color w:val="auto"/>
              </w:rPr>
            </w:pPr>
          </w:p>
        </w:tc>
        <w:tc>
          <w:tcPr>
            <w:tcW w:w="6040" w:type="dxa"/>
            <w:vAlign w:val="bottom"/>
            <w:gridSpan w:val="3"/>
          </w:tcPr>
          <w:p>
            <w:pPr>
              <w:ind w:left="760"/>
              <w:spacing w:after="0" w:line="189" w:lineRule="exact"/>
              <w:rPr>
                <w:sz w:val="20"/>
                <w:szCs w:val="20"/>
                <w:color w:val="auto"/>
              </w:rPr>
            </w:pPr>
            <w:r>
              <w:rPr>
                <w:rFonts w:ascii="Times New Roman" w:cs="Times New Roman" w:eastAsia="Times New Roman" w:hAnsi="Times New Roman"/>
                <w:sz w:val="18"/>
                <w:szCs w:val="18"/>
                <w:color w:val="auto"/>
              </w:rPr>
              <w:t>We are offering to sell directly to institutional investors affiliated with</w:t>
            </w:r>
          </w:p>
        </w:tc>
        <w:tc>
          <w:tcPr>
            <w:tcW w:w="0" w:type="dxa"/>
            <w:vAlign w:val="bottom"/>
          </w:tcPr>
          <w:p>
            <w:pPr>
              <w:spacing w:after="0"/>
              <w:rPr>
                <w:sz w:val="1"/>
                <w:szCs w:val="1"/>
                <w:color w:val="auto"/>
              </w:rPr>
            </w:pPr>
          </w:p>
        </w:tc>
      </w:tr>
      <w:tr>
        <w:trPr>
          <w:trHeight w:val="180"/>
        </w:trPr>
        <w:tc>
          <w:tcPr>
            <w:tcW w:w="3680" w:type="dxa"/>
            <w:vAlign w:val="bottom"/>
          </w:tcPr>
          <w:p>
            <w:pPr>
              <w:spacing w:after="0"/>
              <w:rPr>
                <w:sz w:val="15"/>
                <w:szCs w:val="15"/>
                <w:color w:val="auto"/>
              </w:rPr>
            </w:pPr>
          </w:p>
        </w:tc>
        <w:tc>
          <w:tcPr>
            <w:tcW w:w="6040" w:type="dxa"/>
            <w:vAlign w:val="bottom"/>
            <w:gridSpan w:val="3"/>
          </w:tcPr>
          <w:p>
            <w:pPr>
              <w:ind w:left="760"/>
              <w:spacing w:after="0" w:line="181" w:lineRule="exact"/>
              <w:rPr>
                <w:sz w:val="20"/>
                <w:szCs w:val="20"/>
                <w:color w:val="auto"/>
              </w:rPr>
            </w:pPr>
            <w:r>
              <w:rPr>
                <w:rFonts w:ascii="Times New Roman" w:cs="Times New Roman" w:eastAsia="Times New Roman" w:hAnsi="Times New Roman"/>
                <w:sz w:val="18"/>
                <w:szCs w:val="18"/>
                <w:color w:val="auto"/>
              </w:rPr>
              <w:t>Keith Meister, a member of our board of directors, in a concurrent</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2900" w:type="dxa"/>
            <w:vAlign w:val="bottom"/>
            <w:gridSpan w:val="2"/>
          </w:tcPr>
          <w:p>
            <w:pPr>
              <w:ind w:left="760"/>
              <w:spacing w:after="0" w:line="191" w:lineRule="exact"/>
              <w:rPr>
                <w:sz w:val="20"/>
                <w:szCs w:val="20"/>
                <w:color w:val="auto"/>
              </w:rPr>
            </w:pPr>
            <w:r>
              <w:rPr>
                <w:rFonts w:ascii="Times New Roman" w:cs="Times New Roman" w:eastAsia="Times New Roman" w:hAnsi="Times New Roman"/>
                <w:sz w:val="18"/>
                <w:szCs w:val="18"/>
                <w:color w:val="auto"/>
              </w:rPr>
              <w:t>registered direct offering,</w:t>
            </w:r>
          </w:p>
        </w:tc>
        <w:tc>
          <w:tcPr>
            <w:tcW w:w="3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shares of our Class A common stock at an</w:t>
            </w:r>
          </w:p>
        </w:tc>
        <w:tc>
          <w:tcPr>
            <w:tcW w:w="0" w:type="dxa"/>
            <w:vAlign w:val="bottom"/>
          </w:tcPr>
          <w:p>
            <w:pPr>
              <w:spacing w:after="0"/>
              <w:rPr>
                <w:sz w:val="1"/>
                <w:szCs w:val="1"/>
                <w:color w:val="auto"/>
              </w:rPr>
            </w:pPr>
          </w:p>
        </w:tc>
      </w:tr>
    </w:tbl>
    <w:p>
      <w:pPr>
        <w:ind w:left="4460"/>
        <w:spacing w:after="0" w:line="219" w:lineRule="auto"/>
        <w:tabs>
          <w:tab w:leader="none" w:pos="6020" w:val="left"/>
        </w:tabs>
        <w:rPr>
          <w:sz w:val="20"/>
          <w:szCs w:val="20"/>
          <w:color w:val="auto"/>
        </w:rPr>
      </w:pPr>
      <w:r>
        <w:rPr>
          <w:rFonts w:ascii="Times New Roman" w:cs="Times New Roman" w:eastAsia="Times New Roman" w:hAnsi="Times New Roman"/>
          <w:sz w:val="18"/>
          <w:szCs w:val="18"/>
          <w:color w:val="auto"/>
        </w:rPr>
        <w:t>offering price of $</w:t>
        <w:tab/>
        <w:t>per share, equal to the public offering price of this</w:t>
      </w:r>
    </w:p>
    <w:p>
      <w:pPr>
        <w:jc w:val="both"/>
        <w:ind w:left="4460" w:right="220"/>
        <w:spacing w:after="0" w:line="231" w:lineRule="auto"/>
        <w:rPr>
          <w:sz w:val="20"/>
          <w:szCs w:val="20"/>
          <w:color w:val="auto"/>
        </w:rPr>
      </w:pPr>
      <w:r>
        <w:rPr>
          <w:rFonts w:ascii="Times New Roman" w:cs="Times New Roman" w:eastAsia="Times New Roman" w:hAnsi="Times New Roman"/>
          <w:sz w:val="17"/>
          <w:szCs w:val="17"/>
          <w:color w:val="auto"/>
        </w:rPr>
        <w:t>offering. We refer to this transaction as the concurrent registered direct offering. This offering is not contingent on the closing of the concurrent registered direct offering. See “Underwriting” for more information</w:t>
      </w:r>
    </w:p>
    <w:p>
      <w:pPr>
        <w:sectPr>
          <w:pgSz w:w="11900" w:h="16838" w:orient="portrait"/>
          <w:cols w:equalWidth="0" w:num="1">
            <w:col w:w="9860"/>
          </w:cols>
          <w:pgMar w:left="1000" w:top="1440" w:right="1039" w:bottom="1440" w:gutter="0" w:footer="0" w:header="0"/>
        </w:sectPr>
      </w:pPr>
    </w:p>
    <w:p>
      <w:pPr>
        <w:ind w:left="20"/>
        <w:spacing w:after="0" w:line="237" w:lineRule="auto"/>
        <w:rPr>
          <w:sz w:val="20"/>
          <w:szCs w:val="20"/>
          <w:color w:val="auto"/>
        </w:rPr>
      </w:pPr>
      <w:r>
        <w:rPr>
          <w:rFonts w:ascii="Times New Roman" w:cs="Times New Roman" w:eastAsia="Times New Roman" w:hAnsi="Times New Roman"/>
          <w:sz w:val="18"/>
          <w:szCs w:val="18"/>
          <w:b w:val="1"/>
          <w:bCs w:val="1"/>
          <w:color w:val="auto"/>
        </w:rPr>
        <w:t>Class A Common Stock to be Outstanding Immediately</w:t>
      </w:r>
    </w:p>
    <w:p>
      <w:pPr>
        <w:spacing w:after="0" w:line="1" w:lineRule="exact"/>
        <w:rPr>
          <w:sz w:val="20"/>
          <w:szCs w:val="20"/>
          <w:color w:val="auto"/>
        </w:rPr>
      </w:pPr>
    </w:p>
    <w:p>
      <w:pPr>
        <w:ind w:left="180"/>
        <w:spacing w:after="0" w:line="226" w:lineRule="auto"/>
        <w:rPr>
          <w:sz w:val="20"/>
          <w:szCs w:val="20"/>
          <w:color w:val="auto"/>
        </w:rPr>
      </w:pPr>
      <w:r>
        <w:rPr>
          <w:rFonts w:ascii="Times New Roman" w:cs="Times New Roman" w:eastAsia="Times New Roman" w:hAnsi="Times New Roman"/>
          <w:sz w:val="18"/>
          <w:szCs w:val="18"/>
          <w:b w:val="1"/>
          <w:bCs w:val="1"/>
          <w:color w:val="auto"/>
        </w:rPr>
        <w:t xml:space="preserve">After This Offering </w:t>
      </w:r>
      <w:r>
        <w:rPr>
          <w:rFonts w:ascii="Times New Roman" w:cs="Times New Roman" w:eastAsia="Times New Roman" w:hAnsi="Times New Roman"/>
          <w:sz w:val="18"/>
          <w:szCs w:val="18"/>
          <w:color w:val="auto"/>
        </w:rPr>
        <w:t>and the Concurrent Registered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right="200" w:firstLine="450"/>
        <w:spacing w:after="0" w:line="250" w:lineRule="auto"/>
        <w:rPr>
          <w:sz w:val="20"/>
          <w:szCs w:val="20"/>
          <w:color w:val="auto"/>
        </w:rPr>
      </w:pPr>
      <w:r>
        <w:rPr>
          <w:rFonts w:ascii="Times New Roman" w:cs="Times New Roman" w:eastAsia="Times New Roman" w:hAnsi="Times New Roman"/>
          <w:sz w:val="18"/>
          <w:szCs w:val="18"/>
          <w:color w:val="auto"/>
        </w:rPr>
        <w:t>shares (or shares if the underwriter exercises its option to purchase additional shares in full).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intend to use the net proceeds of this offering and the</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concurrent registered direct offering primarily for general corporate purposes, including additions to working capital, repayment or redemption of existing indebtedness, and strategic investment opportunities. See “</w:t>
      </w:r>
      <w:r>
        <w:rPr>
          <w:rFonts w:ascii="Times New Roman" w:cs="Times New Roman" w:eastAsia="Times New Roman" w:hAnsi="Times New Roman"/>
          <w:sz w:val="18"/>
          <w:szCs w:val="18"/>
          <w:i w:val="1"/>
          <w:iCs w:val="1"/>
          <w:color w:val="auto"/>
        </w:rPr>
        <w:t>Use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Proceeds.”</w:t>
      </w:r>
    </w:p>
    <w:p>
      <w:pPr>
        <w:spacing w:after="0" w:line="53" w:lineRule="exact"/>
        <w:rPr>
          <w:sz w:val="20"/>
          <w:szCs w:val="20"/>
          <w:color w:val="auto"/>
        </w:rPr>
      </w:pPr>
    </w:p>
    <w:p>
      <w:pPr>
        <w:sectPr>
          <w:pgSz w:w="11900" w:h="16838" w:orient="portrait"/>
          <w:cols w:equalWidth="0" w:num="2">
            <w:col w:w="4400" w:space="60"/>
            <w:col w:w="5400"/>
          </w:cols>
          <w:pgMar w:left="1000" w:top="1440" w:right="1039" w:bottom="1440" w:gutter="0" w:footer="0" w:header="0"/>
          <w:type w:val="continuous"/>
        </w:sectPr>
      </w:pPr>
    </w:p>
    <w:p>
      <w:pPr>
        <w:ind w:left="20"/>
        <w:spacing w:after="0"/>
        <w:tabs>
          <w:tab w:leader="none" w:pos="444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8"/>
          <w:szCs w:val="18"/>
          <w:color w:val="auto"/>
        </w:rPr>
        <w:t>Investing in our Class A common stock involves significant risks. See the</w:t>
      </w:r>
    </w:p>
    <w:p>
      <w:pPr>
        <w:spacing w:after="0" w:line="6" w:lineRule="exact"/>
        <w:rPr>
          <w:sz w:val="20"/>
          <w:szCs w:val="20"/>
          <w:color w:val="auto"/>
        </w:rPr>
      </w:pPr>
    </w:p>
    <w:p>
      <w:pPr>
        <w:ind w:left="4460" w:right="40"/>
        <w:spacing w:after="0" w:line="231" w:lineRule="auto"/>
        <w:rPr>
          <w:sz w:val="20"/>
          <w:szCs w:val="20"/>
          <w:color w:val="auto"/>
        </w:rPr>
      </w:pPr>
      <w:r>
        <w:rPr>
          <w:rFonts w:ascii="Times New Roman" w:cs="Times New Roman" w:eastAsia="Times New Roman" w:hAnsi="Times New Roman"/>
          <w:sz w:val="17"/>
          <w:szCs w:val="17"/>
          <w:color w:val="auto"/>
        </w:rPr>
        <w:t>disclosure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 supplement and under similar headings in other documents incorporated by reference into this prospectus supplement and the accompanying prospectus.</w:t>
      </w:r>
    </w:p>
    <w:p>
      <w:pPr>
        <w:spacing w:after="0" w:line="46" w:lineRule="exact"/>
        <w:rPr>
          <w:sz w:val="20"/>
          <w:szCs w:val="20"/>
          <w:color w:val="auto"/>
        </w:rPr>
      </w:pPr>
    </w:p>
    <w:p>
      <w:pPr>
        <w:ind w:left="20"/>
        <w:spacing w:after="0"/>
        <w:tabs>
          <w:tab w:leader="none" w:pos="4440" w:val="left"/>
        </w:tabs>
        <w:rPr>
          <w:sz w:val="20"/>
          <w:szCs w:val="20"/>
          <w:color w:val="auto"/>
        </w:rPr>
      </w:pPr>
      <w:r>
        <w:rPr>
          <w:rFonts w:ascii="Times New Roman" w:cs="Times New Roman" w:eastAsia="Times New Roman" w:hAnsi="Times New Roman"/>
          <w:sz w:val="18"/>
          <w:szCs w:val="18"/>
          <w:b w:val="1"/>
          <w:bCs w:val="1"/>
          <w:color w:val="auto"/>
        </w:rPr>
        <w:t>Listing</w:t>
      </w:r>
      <w:r>
        <w:rPr>
          <w:sz w:val="20"/>
          <w:szCs w:val="20"/>
          <w:color w:val="auto"/>
        </w:rPr>
        <w:tab/>
      </w:r>
      <w:r>
        <w:rPr>
          <w:rFonts w:ascii="Times New Roman" w:cs="Times New Roman" w:eastAsia="Times New Roman" w:hAnsi="Times New Roman"/>
          <w:sz w:val="18"/>
          <w:szCs w:val="18"/>
          <w:color w:val="auto"/>
        </w:rPr>
        <w:t>Our Class A common stock is listed on the Nasdaq under the symbol</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“WGS.”</w:t>
      </w:r>
    </w:p>
    <w:p>
      <w:pPr>
        <w:spacing w:after="0" w:line="246"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The number of shares of our Class A common stock shown above to be outstanding after this offering and the concurrent registered direct offering is based on 381,428,905 shares of our Class A common stock outstanding as of September 30, 2022, and excludes:</w:t>
      </w:r>
    </w:p>
    <w:p>
      <w:pPr>
        <w:spacing w:after="0" w:line="86" w:lineRule="exact"/>
        <w:rPr>
          <w:sz w:val="20"/>
          <w:szCs w:val="20"/>
          <w:color w:val="auto"/>
        </w:rPr>
      </w:pPr>
    </w:p>
    <w:p>
      <w:pPr>
        <w:ind w:left="640" w:right="140" w:hanging="322"/>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21,994,972 shares of Class A common stock issuable upon exercise of warrants outstanding as of September 30, 2022 with an exercise price of $11.50 per share;</w:t>
      </w:r>
    </w:p>
    <w:p>
      <w:pPr>
        <w:spacing w:after="0" w:line="107" w:lineRule="exact"/>
        <w:rPr>
          <w:rFonts w:ascii="Times New Roman" w:cs="Times New Roman" w:eastAsia="Times New Roman" w:hAnsi="Times New Roman"/>
          <w:sz w:val="18"/>
          <w:szCs w:val="18"/>
          <w:color w:val="auto"/>
        </w:rPr>
      </w:pPr>
    </w:p>
    <w:p>
      <w:pPr>
        <w:ind w:left="640" w:right="320" w:hanging="322"/>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32,354,294 shares of Class A common stock issuable upon exercise of options outstanding as of September 30, 2022 with a weighted average exercise price of $1.47 per share;</w:t>
      </w:r>
    </w:p>
    <w:p>
      <w:pPr>
        <w:spacing w:after="0" w:line="107" w:lineRule="exact"/>
        <w:rPr>
          <w:rFonts w:ascii="Times New Roman" w:cs="Times New Roman" w:eastAsia="Times New Roman" w:hAnsi="Times New Roman"/>
          <w:sz w:val="18"/>
          <w:szCs w:val="18"/>
          <w:color w:val="auto"/>
        </w:rPr>
      </w:pPr>
    </w:p>
    <w:p>
      <w:pPr>
        <w:ind w:left="640" w:right="380" w:hanging="322"/>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23,871,012 shares of common stock issuable upon vesting and settlement of restricted stock units (“RSUs”) (excluding the Earn-Out RSUs (as defined below)) outstanding as of September 30, 2022;</w:t>
      </w:r>
    </w:p>
    <w:p>
      <w:pPr>
        <w:spacing w:after="0" w:line="107" w:lineRule="exact"/>
        <w:rPr>
          <w:rFonts w:ascii="Times New Roman" w:cs="Times New Roman" w:eastAsia="Times New Roman" w:hAnsi="Times New Roman"/>
          <w:sz w:val="18"/>
          <w:szCs w:val="18"/>
          <w:color w:val="auto"/>
        </w:rPr>
      </w:pPr>
    </w:p>
    <w:p>
      <w:pPr>
        <w:ind w:left="640" w:right="20" w:hanging="322"/>
        <w:spacing w:after="0" w:line="26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shares of Class A common stock that may be issuable (1) to certain former equity holders of Legacy Sema4 upon the achievement of certain vesting conditions and (2) upon the vesting and settlement of certain RSU awards (the “Earn-Out RSUs”) that were granted to certain former equity award holders of Legacy Sema4 and certain employees of the Company;</w:t>
      </w:r>
    </w:p>
    <w:p>
      <w:pPr>
        <w:spacing w:after="0" w:line="121" w:lineRule="exact"/>
        <w:rPr>
          <w:rFonts w:ascii="Times New Roman" w:cs="Times New Roman" w:eastAsia="Times New Roman" w:hAnsi="Times New Roman"/>
          <w:sz w:val="18"/>
          <w:szCs w:val="18"/>
          <w:color w:val="auto"/>
        </w:rPr>
      </w:pPr>
    </w:p>
    <w:p>
      <w:pPr>
        <w:ind w:left="640" w:hanging="322"/>
        <w:spacing w:after="0" w:line="26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30,864,198 shares of our Class A common stock that may be issuable to OPKO Health, Inc. (“OPKO”) in connection with the achievement of certain revenue-based milestones for each of the fiscal years ending December 31, 2022 and December 31, 2023; and</w:t>
      </w:r>
    </w:p>
    <w:p>
      <w:pPr>
        <w:spacing w:after="0" w:line="121" w:lineRule="exact"/>
        <w:rPr>
          <w:rFonts w:ascii="Times New Roman" w:cs="Times New Roman" w:eastAsia="Times New Roman" w:hAnsi="Times New Roman"/>
          <w:sz w:val="18"/>
          <w:szCs w:val="18"/>
          <w:color w:val="auto"/>
        </w:rPr>
      </w:pPr>
    </w:p>
    <w:p>
      <w:pPr>
        <w:ind w:left="640" w:right="320" w:hanging="322"/>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22,111,381 shares of Class A common stock reserved and available for future issuance as of September 30, 2022, under our equity incentive plan and employee stock purchase plan, consisting of (1) 14,881,582</w:t>
      </w:r>
    </w:p>
    <w:p>
      <w:pPr>
        <w:sectPr>
          <w:pgSz w:w="11900" w:h="16838" w:orient="portrait"/>
          <w:cols w:equalWidth="0" w:num="1">
            <w:col w:w="9860"/>
          </w:cols>
          <w:pgMar w:left="100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S-6</w:t>
      </w:r>
    </w:p>
    <w:p>
      <w:pPr>
        <w:sectPr>
          <w:pgSz w:w="11900" w:h="16838" w:orient="portrait"/>
          <w:cols w:equalWidth="0" w:num="1">
            <w:col w:w="9860"/>
          </w:cols>
          <w:pgMar w:left="1000" w:top="1440" w:right="10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0186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18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640" w:right="80"/>
        <w:spacing w:after="0" w:line="266" w:lineRule="auto"/>
        <w:rPr>
          <w:sz w:val="20"/>
          <w:szCs w:val="20"/>
          <w:color w:val="auto"/>
        </w:rPr>
      </w:pPr>
      <w:r>
        <w:rPr>
          <w:rFonts w:ascii="Times New Roman" w:cs="Times New Roman" w:eastAsia="Times New Roman" w:hAnsi="Times New Roman"/>
          <w:sz w:val="18"/>
          <w:szCs w:val="18"/>
          <w:color w:val="auto"/>
        </w:rPr>
        <w:t>shares of Class A common stock reserved and available for issuance under our 2021 Equity Incentive Plan as of September 30, 2022, and (2) 7,229,799 shares of Class A common stock reserved for issuance under our 2021 Employee Stock Purchase Plan as of September 30, 2022.</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highlight w:val="white"/>
        </w:rPr>
        <w:t>Except as otherwise indicated, the information in this prospectus supplement assumes no exercise of the underwriter’s option to purchase additional shares of our Class A common stock, no equity awards were issued under our 2021 Equity Incentive Plan and 2021 Employee Stock Purchase Plan after September 30, 2022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and that no outstanding warrants or options were exercised or terminated, and no outstanding RSUs vested and settled or terminated, after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9860"/>
          </w:cols>
          <w:pgMar w:left="1000" w:top="1440" w:right="1039" w:bottom="1440" w:gutter="0" w:footer="0" w:header="0"/>
        </w:sectPr>
      </w:pPr>
    </w:p>
    <w:bookmarkStart w:id="9" w:name="page10"/>
    <w:bookmarkEnd w:id="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the risk factors described in the “Risk Factors” sections of our Annual Report on Form 10-K for the fiscal year ended December 31, 2021, and our Quarterly Reports on Form 10-Q for the quarterly periods ended March 31, 2022, June 30, 2022, and September 30, 2022, respectively, which reports are incorporated herein by reference, in addition to the factors set forth below and other information contained in or incorporated by reference in this prospectus supplement and the accompanying prospectus before purchasing our securities. We may face additional risks and uncertainties that are not presently known to us, or that we currently deem immaterial, which may also impair our business or financial condition. See “Where You Can Find More Information; Incorporation by Reference” and “Cautionary Note Regarding Forward-Looking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 and the Concurrent Registered Direct Offering</w:t>
      </w:r>
    </w:p>
    <w:p>
      <w:pPr>
        <w:spacing w:after="0" w:line="17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purchase securities sold in this offering, you will experience immediate and substantial dilution in your investment as a result of this offering and the concurrent registered direct offering. In addition, we may issue additional equity or equity-linked securities in the future, which may result in additional dilution to you.</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offering price per share of Class A common stock being offered in this offering may be higher than the net tangible book value per share of our</w:t>
      </w:r>
    </w:p>
    <w:p>
      <w:pPr>
        <w:spacing w:after="0" w:line="27"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outstanding Class A common stock prior to this offering and the concurrent registered direct offering. Based on the public offering price of $ per share of Class A common stock and our net tangible book value as of September 30, 2022 of approximately $0.38 per share, if you purchase shares of</w:t>
      </w:r>
    </w:p>
    <w:p>
      <w:pPr>
        <w:spacing w:after="0" w:line="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Class A common stock in this offering, you will suffer immediate and substantial dilution of approximately $ per share, representing the difference between the public offering price per share of Class A common stock and the net tangible book value per share of our Class A common stock as of September 30, 2022 after giving effect to this offering and the concurrent registered direct offering. See the section 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below for a more detailed discussion of the dilution you will incur if you purchase shares of Class A common stock in this offering.</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 the extent outstanding stock options or warrants are exercised and RSUs become vested, there will be further dilution to new investors. In addition, to the extent we need to raise additional capital in the future and we issue additional shares of Class A common stock, preferred stock, warrants or other securities convertible or exchangeable for our Class A common stock, our then existing stockholders may experience dilution and the new securities may have rights senior to those of our Class A common stock offered in this offering.</w:t>
      </w:r>
    </w:p>
    <w:p>
      <w:pPr>
        <w:spacing w:after="0" w:line="12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the concurrent registered direct offering and may not use them effectively.</w:t>
      </w:r>
    </w:p>
    <w:p>
      <w:pPr>
        <w:spacing w:after="0" w:line="10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the concurrent registered direct offering, including for any of the purposes described in the 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you will not have the opportunity as part of your investment decision to assess whether the net proceeds are being used appropriately. Because of the number and variability of factors that will determine our use of the net proceeds from this offering and the concurrent registered direct offering, their ultimate use may vary substantially from their currently intended use. Our management might not apply our net proceeds in ways that ultimately increase the value of your investment. We expect to use the net proceeds from this offering and the concurrent registered direct offering for general corporate purposes. The failure by our management to apply these funds effectively could harm our business. Pending their use, we plan to invest the net proceeds from this offering and the concurrent registered direct offering in short-term or long-term, investment-grade, interest-bearing securities. These investments may not yield a favorable return to our stockholders. If we do not invest or apply the net proceeds from this offering and the concurrent registered direct offering in ways that enhance stockholder value, we may fail to achieve expected financial results, which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or rights to purchase our Class A common stock, including pursuant to our equity incentive plan and employee stock purchase plan, could result in additional dilution of the percentage ownership of our stockholders and may cause the price of our Class A common stock to decline.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our commercialization efforts related to our Centrellis platform, expanded research and development activities and costs associated with operating as a public company. To raise capital, we may sell our Class A common stock, shares of preferred stock, other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Class A common stock.</w:t>
      </w:r>
    </w:p>
    <w:p>
      <w:pPr>
        <w:spacing w:after="0" w:line="12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After this offering and the concurrent registered direct offering, we will have shares of Class A common stock outstanding based on the number of shares of Class A common stock outstanding as of September 30, 2022. This includes the shares that we sell in this offering, which may be resold in the public market immediately without restriction, unless they were purchased in this offering by our affiliates, as that term is defined in Rule 144 under the Securities Act of 1933, as amended (the “Securities Act”), in which case they would only be able to be sold in compliance with the requirements of Rule 144.</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subject to certain exceptions, we, all of our directors and executive officers and certain of our other stockholders, have agreed not to offer, sell, or agree to sell, directly or indirectly, any shares of Class A common stock without the permission of Jefferies LLC for a period of 60 days from the date of this prospectus supplement. We expect that investors in the concurrent registered direct offering will agree to a similar lock-up agreement with us that will apply for a period of six-months following such offering both to the shares that they purchase in such offering and the other shares that they own. However, all of the shares sold in this offering and the remaining shares of our Class A common stock outstanding prior to this will not be subject to lock-up agreements with the underwriter and, except to the extent such shares are held by our affiliates, will be freely tradable without restriction under the Securities Act.</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Class A common stock for the foreseeable future, you may not receive any return on investment unless you sell your Class A common stock for a price greater than that which you paid for it.</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and expansion of our business and have no current plans to pay any cash dividends for the foreseeable future. The declaration, amount and payment of any future dividends on shares of Class A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Class A common stock unless you sell our Class A common stock for a price greater than that which you paid for it.</w:t>
      </w:r>
    </w:p>
    <w:p>
      <w:pPr>
        <w:spacing w:after="0" w:line="13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our Class A common stock may be delisted and the price of our Class A common stock and our ability to access the capital markets could be negatively impacted.</w:t>
      </w:r>
    </w:p>
    <w:p>
      <w:pPr>
        <w:spacing w:after="0" w:line="10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December 28, 2022, we received a written notice from the Listing Qualifications Department of The Nasdaq Stock Market, LLC that we were not in compliance with the Minimum Bid Price Requirement set forth in Nasdaq Listing Rule 5450(a)(1) for the last 30 consecutive trading days for continued listing on the Nasdaq. The Minimum Bid Price Requirement requires listed securities to maintain a minimum bid price of $1.00 per share, and Nasdaq Listing Rule 5810(c)(3)(A) provides that a failure to meet the Minimum Bid Price Requirement exists if the deficiency continues for a period of 30 consecutive trading days. The notification provided that we had 180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40"/>
          </w:cols>
          <w:pgMar w:left="320" w:top="1440" w:right="439" w:bottom="1440" w:gutter="0" w:footer="0" w:header="0"/>
        </w:sectPr>
      </w:pPr>
    </w:p>
    <w:bookmarkStart w:id="11" w:name="page12"/>
    <w:bookmarkEnd w:id="11"/>
    <w:p>
      <w:pPr>
        <w:spacing w:after="0" w:line="14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days, or until June 26, 2023, to regain compliance with the Minimum Bid Price Requirement. To regain compliance, the closing bid price of our Class A common stock must be at least $1.00 per share for a minimum of 10 consecutive trading days prior to June 26, 2023, and we must otherwise satisfy The Nasdaq’s requirements for listing.</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No assurance can be given that we will meet applicable Nasdaq continued listing standards or that future noncompliance will not occur. Failure to meet applicable Nasdaq continued listing standards could result in a delisting of our Class A common stock from the Nasdaq, which could materially reduce the liquidity of our Class A common stock and result in a corresponding material reduction in the price of our Class A common stock. Your ability to sell or purchase our Class A common stock when you wish to do so would also be impaired. In addition, delisting could harm our ability to raise capital through alternative financing sources on terms acceptable to us, or at all, and may result in the inability to expand our business, potential loss of confidence by investors and employees, and fewer business development and strategic investment opportunities.</w:t>
      </w:r>
    </w:p>
    <w:p>
      <w:pPr>
        <w:spacing w:after="0" w:line="12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combined financial statements included in this prospectus supplement are presented for illustrative purposes only and may not be reflective of our operating results and financial condition following completion of the exits from the somatic tumor testing services and the reproductive and women’s health testing business.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unaudited pro forma combined financial statements included in this prospectus supplement are presented for illustrative purposes only and are not necessarily indicative of what our actual financial condition or results of operations would have been had the exits from the COVID-19 and somatic tumor testing services and the reproductive and women’s health testing business or the Acquisition been completed on the dates indicated. The unaudited pro forma combined financial statements are subject to a number of assumptions. Our actual results and financial condition after the exits may differ materially and adversely from the unaudited pro forma combined financial statements. For further discussion, see “</w:t>
      </w:r>
      <w:r>
        <w:rPr>
          <w:rFonts w:ascii="Times New Roman" w:cs="Times New Roman" w:eastAsia="Times New Roman" w:hAnsi="Times New Roman"/>
          <w:sz w:val="18"/>
          <w:szCs w:val="18"/>
          <w:i w:val="1"/>
          <w:iCs w:val="1"/>
          <w:color w:val="auto"/>
        </w:rPr>
        <w:t>Unaudited Pro Forma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of pursuing our new strategic direction, and the historical performance of our business may not be indicative of our future operating results and financial condition.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14, 2022, we announced our plan to pursue a new strategic direction focused on our exome and whole genome testing business coupled with our Centrellis data platform. As a result, we have a limited operating history of pursuing this new strategic direction upon which to evaluate our business and forecast our future operating results and financial condition. Furthermore, when considering the historical performance of our business, investors should bear in mind that this information may not be indicative of the future results that investors should expect from us. In particular, our results could vary significantly from our historical results due to the fact that we are exiting our reproductive and women’s health testing business, which we expect to complete by the end of the first quarter of 2023, we completed the exit of our somatic tumor testing services during the fourth quarter of 2022 and we completed the exit of COVID-19 testing services during the first quarter of 2022. Further, prior to the April 2022 closing of the Acquisition, our historical results do not reflect the results of the Legacy GeneDx business that we acquired.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including net losses of $245.4 million, $241.3 million and $29.7 million for the years ended December 31, 2021, 2020 and 2019, respectively. The net loss was $240.2 million for the nine months ended September 30, 2022. As of September 30, 2022, we had an accumulated deficit of $815.7 million. We expect to continue to generate significant operating losses for the foreseeable future.</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our current estimates of our cash and cash equivalents as of December 31, 2022, we do not believe these resources will be sufficient to fund our operations for the next twelve months. However, we believe that our cash and cash equivalents together with the anticipated net proceeds from this offering and the concurrent registered direct offering will be sufficient in the aggregate to fund our operations for at least the next twelve months, although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00"/>
          </w:cols>
          <w:pgMar w:left="320" w:top="1440" w:right="379" w:bottom="1440" w:gutter="0" w:footer="0" w:header="0"/>
        </w:sectPr>
      </w:pPr>
    </w:p>
    <w:bookmarkStart w:id="12" w:name="page13"/>
    <w:bookmarkEnd w:id="12"/>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can be no guarantee that we will successfully raise all the funding we require in this offering and the concurrent registered direct offering. We can offer no assurance that the concurrent registered direct offering will close, and if it does not close, the amount of our net proceeds will be limited to the net proceeds from this offering.</w:t>
      </w:r>
    </w:p>
    <w:p>
      <w:pPr>
        <w:spacing w:after="0" w:line="12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Depending on the amount of funding we receive in this offering and the concurrent registered direct offering as well as other factors, we may seek to sell common or preferred equity or convertible debt securities, enter into a credit facility or another form of third-party funding or seek other debt financing, whether in this offering, the concurrent registered direct offering or otherwise. We may also consider raising additional capital in the future to expand our business, to pursue strategic investments, to take advantage of financing opportunities or for other reasons, including to:</w:t>
      </w:r>
    </w:p>
    <w:p>
      <w:pPr>
        <w:spacing w:after="0" w:line="12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and future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efforts for our current and future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products and services into other disease indications and clinical applications;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payor coverage and reimbursement arrangements with commercial third-party payors and government payors;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our Centrellis solution;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and services in research and early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 and services.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 If we are unable to raise additional capital, whether in this offering, the concurrent registered direct offering or otherwise, we may be required to undertake cost-cutting measures including delaying or discontinuing certain planned investments or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80"/>
          </w:cols>
          <w:pgMar w:left="320" w:top="1440" w:right="399" w:bottom="1440" w:gutter="0" w:footer="0" w:header="0"/>
        </w:sectPr>
      </w:pPr>
    </w:p>
    <w:bookmarkStart w:id="13" w:name="page14"/>
    <w:bookmarkEnd w:id="13"/>
    <w:p>
      <w:pPr>
        <w:spacing w:after="0" w:line="13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September 30, 2022.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38" w:lineRule="exact"/>
        <w:rPr>
          <w:sz w:val="20"/>
          <w:szCs w:val="20"/>
          <w:color w:val="auto"/>
        </w:rPr>
      </w:pPr>
    </w:p>
    <w:p>
      <w:pPr>
        <w:ind w:left="660" w:right="6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0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2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07"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As noted above, as of September 30, 2022, the material weaknesses had not yet been fully remediated. Furthermore, we have not yet made any conclusions as to whether the actions we have taken have remediated the material weaknesses as of December 31, 2022 because our testing, evaluation and conclusion on the effectiveness of our internal control over financial reporting as of December 31, 2022 will not be completed until sometime in March 2023.</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statements for prior periods. For more information, see “</w:t>
      </w:r>
      <w:r>
        <w:rPr>
          <w:rFonts w:ascii="Times New Roman" w:cs="Times New Roman" w:eastAsia="Times New Roman" w:hAnsi="Times New Roman"/>
          <w:sz w:val="18"/>
          <w:szCs w:val="18"/>
          <w:i w:val="1"/>
          <w:iCs w:val="1"/>
          <w:color w:val="auto"/>
        </w:rPr>
        <w:t>Risk Factors—Risks Related to Being a Public Company—Our internal controls over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may not be effective and our independent registered public accounting firm may not be able to certify as to their effectiveness, which could have a significant and adverse effect on our business and reputation.</w:t>
      </w:r>
      <w:r>
        <w:rPr>
          <w:rFonts w:ascii="Times New Roman" w:cs="Times New Roman" w:eastAsia="Times New Roman" w:hAnsi="Times New Roman"/>
          <w:sz w:val="18"/>
          <w:szCs w:val="18"/>
          <w:color w:val="auto"/>
        </w:rPr>
        <w:t>” in our Quarterly Report on Form 10-Q for the quarterly period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incorporated herein by reference.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correctly billed,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significant portion of the payments for our tests are paid or reimbursed under insurance programs with third-party payors. Billing and reimbursement for diagnostic tests is highly complex and closely scrutinized by payors. In particular, billing and reimbursement for multi-gene panel tests and other complex diagnostic tests continues to pose a particular risk of payor audit and potential overpayment obligations. Accurate billing requires sophisticated internal procedures and systems controls and ongoing oversight to ensure compliance with payor requirements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third-party payors have also requested, and in the future may request, audits of the amounts paid to us. We have been required to repay certain amounts to payers as a result of such audits, including but not limited to the $42 million settlement disclosed in our Form 8-K of December 30, 2022 regarding certain overpayments to Legacy Sema4 allegedly received from a payor, and may be required to repay other payers for alleged overpayments due to lack of compliance with their reimbursement policies. In addition to potential repayment obligations,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comply with payor reimbursement policies could result in government enforcement actions and, potentially, exclusion from certain payor programs, which could have a material adverse effect on our business.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Regulatory and Compliance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related to healthcare reform, pricing, coverage and reimbursement, which could reduce our revenue.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Healthcare reform laws, including the Patient Protection and Affordable Care Act or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if the plaintiffs in any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unless delayed by an act of Congress,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HIPAA security, privacy and breach notification regulations may increase our costs.</w:t>
      </w:r>
    </w:p>
    <w:p>
      <w:pPr>
        <w:spacing w:after="0" w:line="175"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The HIPAA privacy, security and breach notification regulations, which include requirements implemented under the HITECH Act, establish federal standards with respect to the use and disclosure of protected health information, or PHI, by health plans, healthcare providers and healthcare clearinghouses. The HIPAA regulations generally prohibit the use and disclosure of PHI without patient authorization, unless the use or disclosure is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20"/>
          </w:cols>
          <w:pgMar w:left="320" w:top="1440" w:right="359" w:bottom="1440" w:gutter="0" w:footer="0" w:header="0"/>
        </w:sectPr>
      </w:pPr>
    </w:p>
    <w:bookmarkStart w:id="16" w:name="page17"/>
    <w:bookmarkEnd w:id="16"/>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payment, treatment or healthcare operations purposes. In setting standards to protect the confidentiality, integrity and security of PHI, the regulations establish a regulatory framework that addresses a variety of subjects, including:</w:t>
      </w:r>
    </w:p>
    <w:p>
      <w:pPr>
        <w:spacing w:after="0" w:line="108" w:lineRule="exact"/>
        <w:rPr>
          <w:sz w:val="20"/>
          <w:szCs w:val="20"/>
          <w:color w:val="auto"/>
        </w:rPr>
      </w:pPr>
    </w:p>
    <w:p>
      <w:pPr>
        <w:ind w:left="660" w:right="2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under which uses and disclosures of PHI are permitted or required without a written authorization from the patient, including but not limited to treatment purposes, activities to obtain payments for our services, and our healthcare operations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patient’s rights to access, amend and receive an accounting of certain disclosures of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notify individuals if there is a breach of their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notices of privacy practices related to the use and disclosure of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technical and physical safeguards required of entities that use or receive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related to the deidentification and aggregation of PHI;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and protection of electronic PHI.</w:t>
      </w:r>
    </w:p>
    <w:p>
      <w:pPr>
        <w:spacing w:after="0" w:line="1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also required to comply with applicable state privacy, security and breach notification laws and regulations, which may be more stringent than federal HIPAA requirements. In addition, for healthcare data transfers from other countries relating to citizens and/or residents of those countries, we are also required to comply with the laws of those countries. Furthermore, on December 1, 2022, the U.S. Department of Health and Human Services, Office for Civil Rights (“OCR”) issued a Bulletin highlighting the obligations of HIPAA covered entities and business associates with respect to the use of online tracking technologies. To the extent that a covered entity or business associate permits a tracking technology vendor to collect PHI of its customers, the parties must enter into a business associate agreement. In addition, the PHI collected may only be used for treatment or health care operation purposes, in accordance with HIPAA. The PHI cannot be used for marketing purposes that are not connected with treatment or health care operations absent a HIPAA compliant authorization from each customer whose information is being shared.</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HIPAA does not provide for private rights of action, HIPAA gives OCR and the Department of Justice the authority to assess significant fines and other penalties for wrongful use or disclosure of PHI, including potential civil and criminal fines and penalties. OCR may require an entity to enter into a settlement agreement which may include ongoing oversight and auditing of a company’s HIPAA compliance program.</w:t>
      </w:r>
    </w:p>
    <w:p>
      <w:pPr>
        <w:spacing w:after="0" w:line="12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addition,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Despite such protections, unauthorized persons may also be able to gain access to PHI stored in such third-parties computer networks. Any wrongful use or disclosure of PHI by us or such third-parties, including disclosure due to data theft or unauthorized access to us or such third-parties’ computer networks, could subject us to fines or penalties that could adversely affect our business and results of operations. In addition, we distribute PHI to patients in physical form (e.g., test materials and/or test results), which introduces additional risk that human error will result in unauthorized disclosures of PHI. Although HIPAA does not expressly provide for a private right of action for damages, we could also be liable for damages under state privacy laws to private parties for the wrongful use or disclosure of confidential health information or other private personal information.</w:t>
      </w:r>
    </w:p>
    <w:p>
      <w:pPr>
        <w:spacing w:after="0" w:line="11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implemented practices intended to meet the requirements of the HIPAA privacy, security and breach notification regulations, as required by law, but cannot guarantee that such practices fully satisfy all applicable requirements under HIPAA. In addition, the Company has experienced a number of “security incidents” (as defined under HIPAA) that involved the unauthorized disclosure of PHI. A subset of these incidents were determined to be reportable breaches requiring disclosure to OCR, as well as to the affected patients. Moreover, we cannot confirm that we have identified all previous incidents that could constitute reportable breaches, or that the mitigation steps undertaken in response to known breaches are adequate to satisfy applicable regulatory requirements and prevent any future unauthorized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noted above, in addition to HIPAA, we are subject to myriad federal, state, and local requirements pertaining to the collection, retention, and disclosure of genetic material. While we endeavor to remain current with such requirements, we can provide no assurance that we are, or will remain, in compliance with all applicable requirements. Failure to comply with privacy and data security requirements could result in a variety of consequences, including significant fines and penalties as well as damage to our reputation, any of which could have a material adverse effect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activities may subject the Company to risks under federal and state healthcare fraud and abuse laws.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among others, a federal law commonly known as the federal Anti-Kickback Statute, the federal False Claims Act, the federal physician self-referral law, known as the Stark Law, and corollary state laws, which prohibit payments intended to induce healthcare providers or others either to refer patients or to acquire or arrange for or recommend the acquisition of healthcare products or services. These laws constrain the sales, marketing and other promotional activities of manufacturers of medical devices and providers of laboratory services by limiting the kinds of financial arrangements, including sales programs, free goods and services, consulting arrangements, speaker programs, compensated service arrangements (including specimen collection and processing), and other non-monetary compensation (e.g., meals, gifts and other business courtesies), that may be used with hospitals, healthcare providers, laboratories and other potential purchasers or prescribers of medical devices and laboratory services. The federal and state fraud and abuse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Moreover, any claim for reimbursement that is predicated on a violation of the Anti-Kickback Statute may constitute a “false claim” under the False Claims Act (discussed in further detail below).</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2018, Congress passed the Eliminating Kickbacks in Recovery Act, EKRA, as part of the Substance Use-Disorder Prevention that Promotes Opioid Recovery and Treatment for Patients and Communities Act. Similar to the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Anti-Kickback Statute,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Anti-Kickback Statute includes certain exceptions that are widely relied upon in the healthcare industry, including safe harbors applicable to certain employment and personal services contracts, and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two courts have addressed the application of EKRA and those courts reached opposite conclusions. One Court ruled that the commission-based compensation provisions of a laboratory employee’s contract did not violate EKRA, while the other court expressly disagreed. Given the conflicting opinions, we cannot be assured that courts in our jurisdiction will reach the same conclusion or that the decision will not be overturned if there is an appeal. We cannot assure you that our relationships with healthcare providers, hospitals, customers, our own sales representatives, or any other party will not be subject to scrutiny or will survive regulatory challenge under EKRA or other anti-kickback laws.</w:t>
      </w:r>
    </w:p>
    <w:p>
      <w:pPr>
        <w:spacing w:after="0" w:line="1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False Claims Act prohibits knowingly presenting (or causing the presentation of) a false claim for reimbursement by a federal health care program. Violation of the False Claims Act can result in substantial penalties, including treble damages. Moreover, the False Claims Act permits enforcement by </w:t>
      </w:r>
      <w:r>
        <w:rPr>
          <w:rFonts w:ascii="Times New Roman" w:cs="Times New Roman" w:eastAsia="Times New Roman" w:hAnsi="Times New Roman"/>
          <w:sz w:val="18"/>
          <w:szCs w:val="18"/>
          <w:i w:val="1"/>
          <w:iCs w:val="1"/>
          <w:color w:val="auto"/>
        </w:rPr>
        <w:t>qui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tam </w:t>
      </w:r>
      <w:r>
        <w:rPr>
          <w:rFonts w:ascii="Times New Roman" w:cs="Times New Roman" w:eastAsia="Times New Roman" w:hAnsi="Times New Roman"/>
          <w:sz w:val="18"/>
          <w:szCs w:val="18"/>
          <w:color w:val="auto"/>
        </w:rPr>
        <w:t>relators (i.e., whistleblowers), such as competitors, customers, or current/former employees, who will receive a portion of any settlement. As discussed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violations of the Anti-Kickback statute can serve as the basis for enforcement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4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False Claims Act. In addition, inaccurate or otherwise improper claims for reimbursement could constitute a false claim, meaning that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In addition, while we have and will continue to enter into certain financial arrangements with referral sources, and we endeavor to ensure that such arrangements are designed to comply with applicable rules, laws and regulations, we can offer no assurance that such arrangements will not result in regulatory or enforcement scrutiny.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0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08" w:lineRule="exact"/>
        <w:rPr>
          <w:sz w:val="20"/>
          <w:szCs w:val="20"/>
          <w:color w:val="auto"/>
        </w:rPr>
      </w:pPr>
    </w:p>
    <w:p>
      <w:pPr>
        <w:ind w:left="660" w:right="8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2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21"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21"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genetic counseling services,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healthcare professional providing telehealth to be physically located in the same state as the patient. Any failure to comply with these laws and regulations could result in civil or criminal penalties against telehealth providers.</w:t>
      </w:r>
    </w:p>
    <w:p>
      <w:pPr>
        <w:spacing w:after="0" w:line="13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human subjects research regulations, including but not limited to the federal Policy for Protection of Human Subjects (45 C.F.R. Part 46), the FDCA and its applicable implementing regulations at 21 C.F.R. Parts 50, 54, 56, 58 and 812, the International Conference on Harmonization’s (ICH)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0" w:lineRule="exact"/>
        <w:rPr>
          <w:sz w:val="20"/>
          <w:szCs w:val="20"/>
          <w:color w:val="auto"/>
        </w:rPr>
      </w:pPr>
    </w:p>
    <w:p>
      <w:pPr>
        <w:ind w:left="328" w:right="740"/>
        <w:spacing w:after="0" w:line="282" w:lineRule="auto"/>
        <w:rPr>
          <w:sz w:val="20"/>
          <w:szCs w:val="20"/>
          <w:color w:val="auto"/>
        </w:rPr>
      </w:pPr>
      <w:r>
        <w:rPr>
          <w:rFonts w:ascii="Times New Roman" w:cs="Times New Roman" w:eastAsia="Times New Roman" w:hAnsi="Times New Roman"/>
          <w:sz w:val="18"/>
          <w:szCs w:val="18"/>
          <w:color w:val="auto"/>
        </w:rPr>
        <w:t>Guideline on Nonclinical Safety Studies for the Conduct of Human Clinical Trials for Pharmaceuticals and the ICH Guideline on Safety Pharmacology Studies for Human Pharmaceuticals, and all equivalent legal requirements in other jurisdictions.</w:t>
      </w:r>
    </w:p>
    <w:p>
      <w:pPr>
        <w:spacing w:after="0" w:line="108" w:lineRule="exact"/>
        <w:rPr>
          <w:sz w:val="20"/>
          <w:szCs w:val="20"/>
          <w:color w:val="auto"/>
        </w:rPr>
      </w:pPr>
    </w:p>
    <w:p>
      <w:pPr>
        <w:ind w:left="328" w:right="20" w:hanging="328"/>
        <w:spacing w:after="0" w:line="258"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item or service for which payment may be made, in whole or in part, under a federal healthcare program;</w:t>
      </w:r>
    </w:p>
    <w:p>
      <w:pPr>
        <w:spacing w:after="0" w:line="129"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EKRA, which prohibits payments for referrals to recovery homes, clinical treatment facilities, and laboratories and reaches beyond federal health care programs, to include private insurance;</w:t>
      </w:r>
    </w:p>
    <w:p>
      <w:pPr>
        <w:spacing w:after="0" w:line="107" w:lineRule="exact"/>
        <w:rPr>
          <w:rFonts w:ascii="Times New Roman" w:cs="Times New Roman" w:eastAsia="Times New Roman" w:hAnsi="Times New Roman"/>
          <w:sz w:val="18"/>
          <w:szCs w:val="18"/>
          <w:color w:val="auto"/>
        </w:rPr>
      </w:pPr>
    </w:p>
    <w:p>
      <w:pPr>
        <w:ind w:left="328" w:hanging="328"/>
        <w:spacing w:after="0" w:line="261"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25" w:lineRule="exact"/>
        <w:rPr>
          <w:rFonts w:ascii="Times New Roman" w:cs="Times New Roman" w:eastAsia="Times New Roman" w:hAnsi="Times New Roman"/>
          <w:sz w:val="18"/>
          <w:szCs w:val="18"/>
          <w:color w:val="auto"/>
        </w:rPr>
      </w:pPr>
    </w:p>
    <w:p>
      <w:pPr>
        <w:ind w:left="328" w:right="580" w:hanging="328"/>
        <w:spacing w:after="0" w:line="282"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07" w:lineRule="exact"/>
        <w:rPr>
          <w:rFonts w:ascii="Times New Roman" w:cs="Times New Roman" w:eastAsia="Times New Roman" w:hAnsi="Times New Roman"/>
          <w:sz w:val="18"/>
          <w:szCs w:val="18"/>
          <w:color w:val="auto"/>
        </w:rPr>
      </w:pPr>
    </w:p>
    <w:p>
      <w:pPr>
        <w:jc w:val="both"/>
        <w:ind w:left="328" w:right="340" w:hanging="328"/>
        <w:spacing w:after="0" w:line="266"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21"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1" w:lineRule="exact"/>
        <w:rPr>
          <w:rFonts w:ascii="Times New Roman" w:cs="Times New Roman" w:eastAsia="Times New Roman" w:hAnsi="Times New Roman"/>
          <w:sz w:val="18"/>
          <w:szCs w:val="18"/>
          <w:color w:val="auto"/>
        </w:rPr>
      </w:pPr>
    </w:p>
    <w:p>
      <w:pPr>
        <w:jc w:val="both"/>
        <w:ind w:left="328" w:right="280" w:hanging="328"/>
        <w:spacing w:after="0" w:line="266"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21" w:lineRule="exact"/>
        <w:rPr>
          <w:rFonts w:ascii="Times New Roman" w:cs="Times New Roman" w:eastAsia="Times New Roman" w:hAnsi="Times New Roman"/>
          <w:sz w:val="18"/>
          <w:szCs w:val="18"/>
          <w:color w:val="auto"/>
        </w:rPr>
      </w:pPr>
    </w:p>
    <w:p>
      <w:pPr>
        <w:ind w:left="328" w:right="160" w:hanging="328"/>
        <w:spacing w:after="0" w:line="282"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07" w:lineRule="exact"/>
        <w:rPr>
          <w:rFonts w:ascii="Times New Roman" w:cs="Times New Roman" w:eastAsia="Times New Roman" w:hAnsi="Times New Roman"/>
          <w:sz w:val="18"/>
          <w:szCs w:val="18"/>
          <w:color w:val="auto"/>
        </w:rPr>
      </w:pPr>
    </w:p>
    <w:p>
      <w:pPr>
        <w:ind w:left="328" w:right="280" w:hanging="328"/>
        <w:spacing w:after="0" w:line="258"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physician assistants, nurse practitioners, clinical nurse specialists, certified registered nurse anesthetists and certified nurse midwives and teaching hospitals as well as ownership and investment interests held by physicians and their immediate family members.</w:t>
      </w:r>
    </w:p>
    <w:p>
      <w:pPr>
        <w:spacing w:after="0" w:line="12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limit or prohibit the provision of certain payments and other transfers of value to certain covered healthcare providers;</w:t>
      </w:r>
    </w:p>
    <w:p>
      <w:pPr>
        <w:spacing w:after="0" w:line="171" w:lineRule="exact"/>
        <w:rPr>
          <w:rFonts w:ascii="Times New Roman" w:cs="Times New Roman" w:eastAsia="Times New Roman" w:hAnsi="Times New Roman"/>
          <w:sz w:val="18"/>
          <w:szCs w:val="18"/>
          <w:color w:val="auto"/>
        </w:rPr>
      </w:pPr>
    </w:p>
    <w:p>
      <w:pPr>
        <w:ind w:left="328" w:right="200" w:hanging="328"/>
        <w:spacing w:after="0" w:line="282"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0868"/>
          </w:cols>
          <w:pgMar w:left="652" w:top="1440" w:right="379" w:bottom="1440" w:gutter="0" w:footer="0" w:header="0"/>
        </w:sectPr>
      </w:pPr>
    </w:p>
    <w:bookmarkStart w:id="20" w:name="page21"/>
    <w:bookmarkEnd w:id="20"/>
    <w:p>
      <w:pPr>
        <w:spacing w:after="0" w:line="140" w:lineRule="exact"/>
        <w:rPr>
          <w:sz w:val="20"/>
          <w:szCs w:val="20"/>
          <w:color w:val="auto"/>
        </w:rPr>
      </w:pPr>
    </w:p>
    <w:p>
      <w:pPr>
        <w:ind w:left="660" w:right="3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may apply to us in the countries in which we operate or may operate in the future; and</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these laws and regulations. While the Company continues to develop and improve its compliance program, we acknowledge that further development will be necessary to help mitigate enforcement risk. Our compliance may also be subject to governmental review, and, in the event of a violation of certain legal requirements, any deficiencies in our policies, procedures, and controls may subject us to increased sanctions that could materially affect our business.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Privacy and Information Technology</w:t>
      </w:r>
    </w:p>
    <w:p>
      <w:pPr>
        <w:spacing w:after="0" w:line="171"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privacy issues, loss of data and other incidents could continue to compromise sensitive, protected, or personal information related to our business, could prevent it from accessing critical information, and could expose it to regulatory liability, which could adversely affect our business.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our collection and storing of PHI also includes more sensitive data such as genetic information, as well as personally identifiable information, genetic information, credit card information, financial information, intellectual property and proprietary business information owned or controlled by us or our customers, payers and other parties. We manage and maintain our applications and data utilizing a combination of on-site systems, managed data center systems and cloud based systems. We also communicate PHI and other sensitive patient data through our various customer tools and platforms, and in physical form. In addition to storing and transmitting sensitive data that is subject to multiple legal protections, these applications and data encompass a wide variety of business critical information including research and development information, commercial information, and business and financial information. We continue to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lost or stolen technology, or other disruptions. Any such breach or interruption could compromise our networks and the information stored therein could be accessed by unauthorized parties, altered, publicly disclosed, lost or stolen.</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For example, as noted above, pursuant to guidance recently issued by OCR, HIPAA covered entities and business associates who permit tracking technology vendors to collect PHI from their patients must enter into a HIPAA compliant business associate agreement with that vendor or obtain advance consent. We have utilized, and may continue to utilize, tracking technologies on one or more of our websites, and may not be able to do so in a manner that is consistent with what HIPAA requires. Should we actually violate, or be perceived to have violated, any privacy promises our business makes to patients or consumers, it could be subject to a complaint from an affected individual or interested privacy regulator, such as OCR, the FTC, a state Attorney General, an EU Member State Data Protection Authority, or a data protection authority in another international jurisdiction. This risk is heightened given the sensitivity of the data we collect.</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or UDAP, statutes may also vary significantly.</w:t>
      </w:r>
    </w:p>
    <w:p>
      <w:pPr>
        <w:spacing w:after="0" w:line="13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3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went into effect on January 1, 2023. The CPRA, among other things, amends the CCPA to give California residents the ability to limit the use of their sensitive information, provides for penalties for CPRA violations concerning California residents under the age of 16, and establishes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STATEMENTS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are based on the historical consolidated financial statements of the Company and historical combined financial statements of Legacy GeneDx and are adjusted to give effect to the completed Acquisition as well as the closure or abandonment of the COVID and somatic tumor testing services and the reproductive and women’s health business previously announced which have either occurred or are probable of occurring.</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December 16, 2021 and August 15, 2022, the Company announced its decision to exit COVID-19 and somatic tumor testing services, respectively. Similarly, on November 11, 2022, the board of directors of the Company unanimously approved the Company’s exit from the reproductive and women’s health testing business activities, which includes carrier screening, noninvasive prenatal, and other ancillary reproductive testing offerings. These are referred to as “Exited Activities” in the statements below. On November 14, 2022, the Company announced its plan to pursue a new strategic direction focused on the Company’s exome and whole genome testing business coupled with the Company’s Centrellis data platform.</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combined statements of operations combine the historical consolidated statements of comprehensive loss of the Company, which includes the results of Legacy Sema4 and the results of Legacy GeneDx subsequent to the April 29, 2022 Acquisition, and the applicable pre-Acquisition periods of combined statements of comprehensive loss of Legacy GeneDx, giving effect to the Acquisition, as if the Acquisition had been consummated on January 1, 2021, in addition to the adjustments for the Exited Activities.</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not presented a pro forma balance sheet as of September 30, 2022 since the assets and liabilities of Legacy GeneDx are already included in the consolidated balance sheet as of September 30, 2022. In addition, at the present time, the Exited Activities do not reflect selling or divesting such businesses, the individual assets and liabilities associated with the Exited Activities will remain as assets and liabilities of the Company. We continue to evaluate the ultimate disposition of the assets of Exited Activities, which may include the sale, return to suppliers, redirect the usage to ongoing business activities or abandonment, and will record the financial effects of the Exited Activities as our estimates evolve.</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unaudited pro forma combined financial statements should be read in conjunction with our financial statements and the related notes included in our Annual Report on Form 10-K for the year ended December 31, 2021 and our Quarterly Reports on Form 10-Q for the first, second and third quarters ended in 2022, which are incorporated by reference into this prospectus supplement. Subsequent to the unaudited pro forma combined financial statements presented, as part of its strategic realignment, the Company announced the elimination of approximately 500 positions, representing approximately 32.5% of its workforce. We have also identified indicators of impairment in the fourth quarter of 2022 related to the Exited Activities and are in the process of performing a detailed evaluation. Our evaluation will consider the fair value of the assets of the Exited Activities noted above. In addition, and in response to the significant declines in our share price through December 31, 2022, we will also evaluate the goodwill and long-lived intangible assets of the Company for impairment. Additionally, certain current and non-current assets previously utilized in the operation of reproductive and women’s health and somatic tumor testing services, primarily fixed assets and inventory, may be subject to fair market value adjustments in the future periods. As discussed above, we are evaluating the ultimate disposition of these assets, which may include a sale of any assets not expected to be used in our planned operations. Any impairments or fair market value adjustments to the carrying value of assets, if identified, will be recorded in the fourth quarter of 2022.</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unaudited pro forma combined financial statements update and supplement the unaudited pro forma combined financial information previously filed in the Company’s Current Reports on Form 8-K filed with the SEC on May 2, 2022 and August 26, 2022, which reports are incorporated by reference in this prospectus supplement. To the extent that information in the unaudited pro forma combined financial statements differs from or updates information contained in those Current Reports on Form 8-K, the information in the unaudited pro forma combined financial statements supersedes or supplements the information in those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00"/>
          </w:cols>
          <w:pgMar w:left="320" w:top="1440" w:right="379" w:bottom="1440" w:gutter="0" w:footer="0" w:header="0"/>
        </w:sectPr>
      </w:pPr>
    </w:p>
    <w:bookmarkStart w:id="24" w:name="page25"/>
    <w:bookmarkEnd w:id="24"/>
    <w:p>
      <w:pPr>
        <w:spacing w:after="0" w:line="13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COMBINED STATEMENT OF OPERATIONS FOR THE NINE MONTHS ENDED SEPTEMBER 30, 2022 (in thousands, except share and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ind w:left="78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22"/>
        </w:trPr>
        <w:tc>
          <w:tcPr>
            <w:tcW w:w="44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77"/>
              <w:spacing w:after="0" w:line="122"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Exited Activities</w:t>
            </w:r>
          </w:p>
        </w:tc>
        <w:tc>
          <w:tcPr>
            <w:tcW w:w="1220" w:type="dxa"/>
            <w:vAlign w:val="bottom"/>
            <w:tcBorders>
              <w:top w:val="single" w:sz="8" w:color="auto"/>
            </w:tcBorders>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Pro Forma Statement</w:t>
            </w:r>
          </w:p>
        </w:tc>
      </w:tr>
      <w:tr>
        <w:trPr>
          <w:trHeight w:val="189"/>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Legacy GeneDx </w:t>
            </w:r>
            <w:r>
              <w:rPr>
                <w:rFonts w:ascii="Times New Roman" w:cs="Times New Roman" w:eastAsia="Times New Roman" w:hAnsi="Times New Roman"/>
                <w:sz w:val="16"/>
                <w:szCs w:val="16"/>
                <w:b w:val="1"/>
                <w:bCs w:val="1"/>
                <w:color w:val="auto"/>
                <w:vertAlign w:val="superscript"/>
              </w:rPr>
              <w:t>(A)</w:t>
            </w:r>
          </w:p>
        </w:tc>
        <w:tc>
          <w:tcPr>
            <w:tcW w:w="16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 xml:space="preserve">Adjustments </w:t>
            </w:r>
            <w:r>
              <w:rPr>
                <w:rFonts w:ascii="Times New Roman" w:cs="Times New Roman" w:eastAsia="Times New Roman" w:hAnsi="Times New Roman"/>
                <w:sz w:val="16"/>
                <w:szCs w:val="16"/>
                <w:b w:val="1"/>
                <w:bCs w:val="1"/>
                <w:color w:val="auto"/>
                <w:vertAlign w:val="superscript"/>
              </w:rPr>
              <w:t>(B)</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1"/>
              </w:rPr>
              <w:t xml:space="preserve">Adjustments </w:t>
            </w:r>
            <w:r>
              <w:rPr>
                <w:rFonts w:ascii="Times New Roman" w:cs="Times New Roman" w:eastAsia="Times New Roman" w:hAnsi="Times New Roman"/>
                <w:sz w:val="16"/>
                <w:szCs w:val="16"/>
                <w:b w:val="1"/>
                <w:bCs w:val="1"/>
                <w:color w:val="auto"/>
                <w:w w:val="91"/>
                <w:vertAlign w:val="superscript"/>
              </w:rPr>
              <w:t>(H)</w:t>
            </w:r>
          </w:p>
        </w:tc>
        <w:tc>
          <w:tcPr>
            <w:tcW w:w="160" w:type="dxa"/>
            <w:vAlign w:val="bottom"/>
          </w:tcPr>
          <w:p>
            <w:pPr>
              <w:spacing w:after="0"/>
              <w:rPr>
                <w:sz w:val="16"/>
                <w:szCs w:val="16"/>
                <w:color w:val="auto"/>
              </w:rPr>
            </w:pPr>
          </w:p>
        </w:tc>
        <w:tc>
          <w:tcPr>
            <w:tcW w:w="10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of Operations</w:t>
            </w:r>
          </w:p>
        </w:tc>
      </w:tr>
      <w:tr>
        <w:trPr>
          <w:trHeight w:val="156"/>
        </w:trPr>
        <w:tc>
          <w:tcPr>
            <w:tcW w:w="440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Revenue:</w:t>
            </w: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70"/>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Diagnostic test revenue</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167,989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48,804</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tcPr>
          <w:p>
            <w:pPr>
              <w:jc w:val="right"/>
              <w:ind w:right="206"/>
              <w:spacing w:after="0"/>
              <w:rPr>
                <w:sz w:val="20"/>
                <w:szCs w:val="20"/>
                <w:color w:val="auto"/>
              </w:rPr>
            </w:pPr>
            <w:r>
              <w:rPr>
                <w:rFonts w:ascii="Times New Roman" w:cs="Times New Roman" w:eastAsia="Times New Roman" w:hAnsi="Times New Roman"/>
                <w:sz w:val="13"/>
                <w:szCs w:val="13"/>
                <w:color w:val="auto"/>
              </w:rPr>
              <w:t xml:space="preserve">(544) </w:t>
            </w:r>
            <w:r>
              <w:rPr>
                <w:rFonts w:ascii="Times New Roman" w:cs="Times New Roman" w:eastAsia="Times New Roman" w:hAnsi="Times New Roman"/>
                <w:sz w:val="10"/>
                <w:szCs w:val="10"/>
                <w:b w:val="1"/>
                <w:bCs w:val="1"/>
                <w:color w:val="auto"/>
              </w:rPr>
              <w:t>C</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(95,638)</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120,611</w:t>
            </w:r>
          </w:p>
        </w:tc>
      </w:tr>
      <w:tr>
        <w:trPr>
          <w:trHeight w:val="181"/>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revenue</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5,355</w:t>
            </w:r>
          </w:p>
        </w:tc>
      </w:tr>
      <w:tr>
        <w:trPr>
          <w:trHeight w:val="163"/>
        </w:trPr>
        <w:tc>
          <w:tcPr>
            <w:tcW w:w="44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3"/>
                <w:szCs w:val="13"/>
                <w:color w:val="auto"/>
              </w:rPr>
              <w:t>Total revenue</w:t>
            </w: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173,344</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48,804</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3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(95,638)</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125,966</w:t>
            </w:r>
          </w:p>
        </w:tc>
      </w:tr>
      <w:tr>
        <w:trPr>
          <w:trHeight w:val="17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services</w:t>
            </w: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183,768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34,615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36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D</w:t>
            </w: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(135,656)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83,223</w:t>
            </w:r>
          </w:p>
        </w:tc>
      </w:tr>
      <w:tr>
        <w:trPr>
          <w:trHeight w:val="163"/>
        </w:trPr>
        <w:tc>
          <w:tcPr>
            <w:tcW w:w="4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Total gross profit (loss)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(10,424)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14,189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40,018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42,743</w:t>
            </w:r>
          </w:p>
        </w:tc>
      </w:tr>
      <w:tr>
        <w:trPr>
          <w:trHeight w:val="16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3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D</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(11,143)</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56,645</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Selling and marketing</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1,857</w:t>
            </w:r>
          </w:p>
        </w:tc>
        <w:tc>
          <w:tcPr>
            <w:tcW w:w="3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6"/>
              </w:rPr>
              <w:t>D, E</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(66,751)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45,923</w:t>
            </w: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4,938</w:t>
            </w:r>
          </w:p>
        </w:tc>
        <w:tc>
          <w:tcPr>
            <w:tcW w:w="3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6"/>
              </w:rPr>
              <w:t>D, E</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165,369</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Related party expenses</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3,907</w:t>
            </w: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206"/>
              <w:spacing w:after="0"/>
              <w:rPr>
                <w:sz w:val="20"/>
                <w:szCs w:val="20"/>
                <w:color w:val="auto"/>
              </w:rPr>
            </w:pPr>
            <w:r>
              <w:rPr>
                <w:rFonts w:ascii="Times New Roman" w:cs="Times New Roman" w:eastAsia="Times New Roman" w:hAnsi="Times New Roman"/>
                <w:sz w:val="13"/>
                <w:szCs w:val="13"/>
                <w:color w:val="auto"/>
              </w:rPr>
              <w:t xml:space="preserve">(5,604) </w:t>
            </w:r>
            <w:r>
              <w:rPr>
                <w:rFonts w:ascii="Times New Roman" w:cs="Times New Roman" w:eastAsia="Times New Roman" w:hAnsi="Times New Roman"/>
                <w:sz w:val="10"/>
                <w:szCs w:val="10"/>
                <w:b w:val="1"/>
                <w:bCs w:val="1"/>
                <w:color w:val="auto"/>
              </w:rPr>
              <w:t>E</w:t>
            </w:r>
          </w:p>
        </w:tc>
        <w:tc>
          <w:tcPr>
            <w:tcW w:w="12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Asset impairment charges</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3"/>
                <w:szCs w:val="13"/>
                <w:color w:val="auto"/>
              </w:rPr>
              <w:t xml:space="preserve">(5,121) </w:t>
            </w:r>
            <w:r>
              <w:rPr>
                <w:rFonts w:ascii="Times New Roman" w:cs="Times New Roman" w:eastAsia="Times New Roman" w:hAnsi="Times New Roman"/>
                <w:sz w:val="10"/>
                <w:szCs w:val="10"/>
                <w:b w:val="1"/>
                <w:bCs w:val="1"/>
                <w:color w:val="auto"/>
              </w:rPr>
              <w:t>F</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Loss from operations</w:t>
            </w: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(342,770)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(31,764)</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2,426</w:t>
            </w:r>
          </w:p>
        </w:tc>
        <w:tc>
          <w:tcPr>
            <w:tcW w:w="3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143,007</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(229,101)</w:t>
            </w:r>
          </w:p>
        </w:tc>
      </w:tr>
      <w:tr>
        <w:trPr>
          <w:trHeight w:val="16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fair market value of warrant and earn-out contingent liabilities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54,350</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Interest income</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(2,404)</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(3,653)</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(3,595)</w:t>
            </w:r>
          </w:p>
        </w:tc>
      </w:tr>
      <w:tr>
        <w:trPr>
          <w:trHeight w:val="163"/>
        </w:trPr>
        <w:tc>
          <w:tcPr>
            <w:tcW w:w="4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53,409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49,756</w:t>
            </w:r>
          </w:p>
        </w:tc>
      </w:tr>
      <w:tr>
        <w:trPr>
          <w:trHeight w:val="175"/>
        </w:trPr>
        <w:tc>
          <w:tcPr>
            <w:tcW w:w="4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loss before income taxes</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(289,361)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2,429</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(179,345)</w:t>
            </w:r>
          </w:p>
        </w:tc>
      </w:tr>
      <w:tr>
        <w:trPr>
          <w:trHeight w:val="170"/>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or benefit for income taxes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206"/>
              <w:spacing w:after="0"/>
              <w:rPr>
                <w:sz w:val="20"/>
                <w:szCs w:val="20"/>
                <w:color w:val="auto"/>
              </w:rPr>
            </w:pPr>
            <w:r>
              <w:rPr>
                <w:rFonts w:ascii="Times New Roman" w:cs="Times New Roman" w:eastAsia="Times New Roman" w:hAnsi="Times New Roman"/>
                <w:sz w:val="13"/>
                <w:szCs w:val="13"/>
                <w:color w:val="auto"/>
              </w:rPr>
              <w:t xml:space="preserve">(60,948) </w:t>
            </w:r>
            <w:r>
              <w:rPr>
                <w:rFonts w:ascii="Times New Roman" w:cs="Times New Roman" w:eastAsia="Times New Roman" w:hAnsi="Times New Roman"/>
                <w:sz w:val="10"/>
                <w:szCs w:val="10"/>
                <w:b w:val="1"/>
                <w:bCs w:val="1"/>
                <w:color w:val="auto"/>
              </w:rPr>
              <w:t>G</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44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(240,219)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(58,519)</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(179,345)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49"/>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shares outstanding, basic and diluted</w:t>
            </w: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321,461,266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56,190,476</w:t>
            </w:r>
          </w:p>
        </w:tc>
        <w:tc>
          <w:tcPr>
            <w:tcW w:w="3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377,651,742</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and diluted net loss per share</w:t>
            </w: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four months operating results of Legacy GeneDx during the pre-Acquisition period.</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acquisition proforma adjustments to give effect to the completed Acquisition as if it had been consummated on January 1, 2021.</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relates to intercompany revenue elimination for Legacy GeneDx revenue earned for services performed for BioReference Laboratories, Inc prior to the closing of the Acquisition.</w:t>
      </w:r>
    </w:p>
    <w:p>
      <w:pPr>
        <w:spacing w:after="0" w:line="14" w:lineRule="exact"/>
        <w:rPr>
          <w:rFonts w:ascii="Times New Roman" w:cs="Times New Roman" w:eastAsia="Times New Roman" w:hAnsi="Times New Roman"/>
          <w:sz w:val="14"/>
          <w:szCs w:val="14"/>
          <w:color w:val="auto"/>
        </w:rPr>
      </w:pPr>
    </w:p>
    <w:p>
      <w:pPr>
        <w:ind w:left="340" w:right="20" w:hanging="332"/>
        <w:spacing w:after="0" w:line="257" w:lineRule="auto"/>
        <w:tabs>
          <w:tab w:leader="none" w:pos="33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stock-based compensation expense for inducement awards granted to GeneDx employees. On May 2, 2022, the compensation committee of the Company’s board of directors granted newly-hired Legacy GeneDx employees inducement stock options to purchase an aggregate of 4,932,132 shares of the Company’s Class A common stock and 4,285,208 RSUs as inducements material to each employee entering into employment with the Company. The stock options have an exercise price of $2.20 per share, which was equal to the closing price of the Company’s Class A common stock on the grant date. The stock options and RSUs granted to the newly-hired employees other than the Company’s Chief Executive Officer, Chief Growth Officer, and Chief Financial Officer (formerly, the Senior Vice President, Operations) will vest with respect to 25% of the underlying shares on April 29, 2023, and will vest with respect to the remaining underlying shares in equal quarterly installments thereafter through April 29, 2026, in each case subject to the new employee’s continued service with the Company. The stock options and RSUs granted to the Company’s Chief Executive Officer, Chief Growth Officer, and Chief Financial Officer will vest with respect to 25% of the underlying shares on April 29, 2023 and 25% of the underlying shares on April 29, 2024, and will vest with respect to the remaining underlying shares in equal quarterly installments thereafter through April 29, 2026, in each case subject to his or her continued service with the Company. Each stock option has a 10-year term. The stock options and RSUs are subject to the terms and conditions identical to those of the Company’s 2021 Equity Incentive Plan and the form of stock option agreement or RSU agreement under such plan, as applicable, covering the grant. The adjustment includes elimination of $3.9 million in legacy stock-based compensation expense and recording of $7.0 million based on the inducement awards as discussed above.</w:t>
      </w:r>
    </w:p>
    <w:p>
      <w:pPr>
        <w:spacing w:after="0" w:line="7"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Pre-Acquisition period amortization expense related to the legacy intangible assets was eliminated and replaced with revised amortization expense based on the fair value of intangible assets recorded in connection with the Acquisition. A total of $196 million of intangible assets were recorded based on the Company’s preliminary purchase accounting assessments. This balance consists of tradenames and trademarks, developed technology and customer relationships of $50 million, $48 million and $98 million, respectively. Further details of the intangible assets are disclosed in the Company’s Quarterly Reports on Form 10-Q for the second and third quarters ended in 2022, which are incorporated by reference into this prospectus supplement. Related amortization expense for customer relationships of $1.6 million is recorded as an adjustment in selling and marketing and amortization expense for tradenames and trademarks and developed technology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3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$3.1 million in total is recorded as an adjustment in general and administrative. The adjustment was offset by elimination of the legacy intangible asset amortization of $5.6 million.</w:t>
      </w:r>
    </w:p>
    <w:p>
      <w:pPr>
        <w:spacing w:after="0" w:line="27" w:lineRule="exact"/>
        <w:rPr>
          <w:sz w:val="20"/>
          <w:szCs w:val="20"/>
          <w:color w:val="auto"/>
        </w:rPr>
      </w:pPr>
    </w:p>
    <w:p>
      <w:pPr>
        <w:ind w:left="332" w:hanging="332"/>
        <w:spacing w:after="0" w:line="256" w:lineRule="auto"/>
        <w:tabs>
          <w:tab w:leader="none" w:pos="31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Legacy GeneDx recorded a goodwill impairment charge of $5.1 million based on the difference between the carrying value of the business and its estimated fair value based on the fair value of consideration expected to be paid. The Company deemed the adjustment appropriate as the Company does not carry over the legacy goodwill balance recorded. Further details of the goodwill balance are disclosed in the Company’s Quarterly Reports on Form 10-Q for the second and third quarters ended in 2022, which are incorporated by reference into this prospectus supplement.</w:t>
      </w:r>
    </w:p>
    <w:p>
      <w:pPr>
        <w:spacing w:after="0" w:line="1" w:lineRule="exact"/>
        <w:rPr>
          <w:rFonts w:ascii="Times New Roman" w:cs="Times New Roman" w:eastAsia="Times New Roman" w:hAnsi="Times New Roman"/>
          <w:sz w:val="14"/>
          <w:szCs w:val="14"/>
          <w:color w:val="auto"/>
        </w:rPr>
      </w:pPr>
    </w:p>
    <w:p>
      <w:pPr>
        <w:ind w:left="332" w:right="180" w:hanging="332"/>
        <w:spacing w:after="0" w:line="261"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relates to elimination of the income tax benefit of $49.1 million for the Company because the acquisition is assumed to have occurred on January 1, 2021 and the tax benefit would be realized in the year of acquisition assumed. Legacy GeneDx tax benefit of $11.8 million was also eliminated as the benefit did not transfer over from OPKO.</w:t>
      </w:r>
    </w:p>
    <w:p>
      <w:pPr>
        <w:ind w:left="332" w:right="400" w:hanging="332"/>
        <w:spacing w:after="0" w:line="263"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in this column relate to revenue and expenses that are specifically attributable to operations of reproductive and women’s health testing, COVID-19 and somatic testing businesses that have been exited. Any corporate overhead is excluded from the adjustments as it is not specifically attributable to the exited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32"/>
          </w:cols>
          <w:pgMar w:left="328" w:top="1440" w:right="439" w:bottom="1440" w:gutter="0" w:footer="0" w:header="0"/>
        </w:sectPr>
      </w:pPr>
    </w:p>
    <w:bookmarkStart w:id="26" w:name="page27"/>
    <w:bookmarkEnd w:id="2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22"/>
        </w:trPr>
        <w:tc>
          <w:tcPr>
            <w:tcW w:w="4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right"/>
              <w:ind w:right="257"/>
              <w:spacing w:after="0" w:line="122"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Exited Activities</w:t>
            </w:r>
          </w:p>
        </w:tc>
        <w:tc>
          <w:tcPr>
            <w:tcW w:w="120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b w:val="1"/>
                <w:bCs w:val="1"/>
                <w:color w:val="auto"/>
                <w:w w:val="97"/>
              </w:rPr>
              <w:t>Pro Forma Statement</w:t>
            </w:r>
          </w:p>
        </w:tc>
      </w:tr>
      <w:tr>
        <w:trPr>
          <w:trHeight w:val="189"/>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6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Legacy GeneDx</w:t>
            </w:r>
          </w:p>
        </w:tc>
        <w:tc>
          <w:tcPr>
            <w:tcW w:w="140" w:type="dxa"/>
            <w:vAlign w:val="bottom"/>
          </w:tcPr>
          <w:p>
            <w:pPr>
              <w:spacing w:after="0"/>
              <w:rPr>
                <w:sz w:val="16"/>
                <w:szCs w:val="16"/>
                <w:color w:val="auto"/>
              </w:rPr>
            </w:pPr>
          </w:p>
        </w:tc>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6"/>
              </w:rPr>
              <w:t xml:space="preserve">Adjustments </w:t>
            </w:r>
            <w:r>
              <w:rPr>
                <w:rFonts w:ascii="Times New Roman" w:cs="Times New Roman" w:eastAsia="Times New Roman" w:hAnsi="Times New Roman"/>
                <w:sz w:val="16"/>
                <w:szCs w:val="16"/>
                <w:b w:val="1"/>
                <w:bCs w:val="1"/>
                <w:color w:val="auto"/>
                <w:w w:val="96"/>
                <w:vertAlign w:val="superscript"/>
              </w:rPr>
              <w:t>(A)</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Adjustments </w:t>
            </w:r>
            <w:r>
              <w:rPr>
                <w:rFonts w:ascii="Times New Roman" w:cs="Times New Roman" w:eastAsia="Times New Roman" w:hAnsi="Times New Roman"/>
                <w:sz w:val="16"/>
                <w:szCs w:val="16"/>
                <w:b w:val="1"/>
                <w:bCs w:val="1"/>
                <w:color w:val="auto"/>
                <w:vertAlign w:val="superscript"/>
              </w:rPr>
              <w:t>(F)</w:t>
            </w:r>
          </w:p>
        </w:tc>
        <w:tc>
          <w:tcPr>
            <w:tcW w:w="140" w:type="dxa"/>
            <w:vAlign w:val="bottom"/>
          </w:tcPr>
          <w:p>
            <w:pPr>
              <w:spacing w:after="0"/>
              <w:rPr>
                <w:sz w:val="16"/>
                <w:szCs w:val="16"/>
                <w:color w:val="auto"/>
              </w:rPr>
            </w:pPr>
          </w:p>
        </w:tc>
        <w:tc>
          <w:tcPr>
            <w:tcW w:w="10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of Operations</w:t>
            </w:r>
          </w:p>
        </w:tc>
      </w:tr>
      <w:tr>
        <w:trPr>
          <w:trHeight w:val="156"/>
        </w:trPr>
        <w:tc>
          <w:tcPr>
            <w:tcW w:w="432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Revenue:</w:t>
            </w:r>
          </w:p>
        </w:tc>
        <w:tc>
          <w:tcPr>
            <w:tcW w:w="2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Diagnostic test revenue</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205,100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116,595</w:t>
            </w:r>
          </w:p>
        </w:tc>
        <w:tc>
          <w:tcPr>
            <w:tcW w:w="100" w:type="dxa"/>
            <w:vAlign w:val="bottom"/>
          </w:tcPr>
          <w:p>
            <w:pPr>
              <w:spacing w:after="0"/>
              <w:rPr>
                <w:sz w:val="14"/>
                <w:szCs w:val="14"/>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4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 xml:space="preserve">(2,070) </w:t>
            </w:r>
            <w:r>
              <w:rPr>
                <w:rFonts w:ascii="Times New Roman" w:cs="Times New Roman" w:eastAsia="Times New Roman" w:hAnsi="Times New Roman"/>
                <w:sz w:val="10"/>
                <w:szCs w:val="10"/>
                <w:b w:val="1"/>
                <w:bCs w:val="1"/>
                <w:color w:val="auto"/>
              </w:rPr>
              <w:t>B</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(204,277)</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115,348</w:t>
            </w: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revenue</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7,095</w:t>
            </w:r>
          </w:p>
        </w:tc>
      </w:tr>
      <w:tr>
        <w:trPr>
          <w:trHeight w:val="163"/>
        </w:trPr>
        <w:tc>
          <w:tcPr>
            <w:tcW w:w="4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Total revenue</w:t>
            </w: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212,195</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116,595</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(2,070)</w:t>
            </w:r>
          </w:p>
        </w:tc>
        <w:tc>
          <w:tcPr>
            <w:tcW w:w="3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(204,277)</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122,443</w:t>
            </w:r>
          </w:p>
        </w:tc>
      </w:tr>
      <w:tr>
        <w:trPr>
          <w:trHeight w:val="17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services</w:t>
            </w: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228,797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84,361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w:t>
            </w: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(219,685)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94,677</w:t>
            </w:r>
          </w:p>
        </w:tc>
      </w:tr>
      <w:tr>
        <w:trPr>
          <w:trHeight w:val="163"/>
        </w:trPr>
        <w:tc>
          <w:tcPr>
            <w:tcW w:w="43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3"/>
                <w:szCs w:val="13"/>
                <w:color w:val="auto"/>
              </w:rPr>
              <w:t>Total gross profit (loss)</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(16,602)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32,234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(3,274)</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15,408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27,766</w:t>
            </w:r>
          </w:p>
        </w:tc>
      </w:tr>
      <w:tr>
        <w:trPr>
          <w:trHeight w:val="161"/>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(13,354)</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105,408</w:t>
            </w: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Selling and marketing</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5,443</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 D</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37,593</w:t>
            </w: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13,732</w:t>
            </w:r>
          </w:p>
        </w:tc>
        <w:tc>
          <w:tcPr>
            <w:tcW w:w="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 D</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(7,384)</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252,630</w:t>
            </w: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Related party expenses</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5,243</w:t>
            </w: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 xml:space="preserve">(16,813) </w:t>
            </w:r>
            <w:r>
              <w:rPr>
                <w:rFonts w:ascii="Times New Roman" w:cs="Times New Roman" w:eastAsia="Times New Roman" w:hAnsi="Times New Roman"/>
                <w:sz w:val="10"/>
                <w:szCs w:val="10"/>
                <w:b w:val="1"/>
                <w:bCs w:val="1"/>
                <w:color w:val="auto"/>
              </w:rPr>
              <w:t>D</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432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Loss from operations</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(446,149)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(49,395)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(6,859)</w:t>
            </w: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129,295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(373,108)</w:t>
            </w:r>
          </w:p>
        </w:tc>
      </w:tr>
      <w:tr>
        <w:trPr>
          <w:trHeight w:val="150"/>
        </w:trPr>
        <w:tc>
          <w:tcPr>
            <w:tcW w:w="43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Other income (expense):</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Change in fair market value of warrant and earn-out contingent liabilities</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198,401</w:t>
            </w: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w:t>
            </w:r>
          </w:p>
        </w:tc>
      </w:tr>
      <w:tr>
        <w:trPr>
          <w:trHeight w:val="170"/>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3,277</w:t>
            </w:r>
          </w:p>
        </w:tc>
      </w:tr>
      <w:tr>
        <w:trPr>
          <w:trHeight w:val="175"/>
        </w:trPr>
        <w:tc>
          <w:tcPr>
            <w:tcW w:w="4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200,759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198,922</w:t>
            </w:r>
          </w:p>
        </w:tc>
      </w:tr>
      <w:tr>
        <w:trPr>
          <w:trHeight w:val="163"/>
        </w:trPr>
        <w:tc>
          <w:tcPr>
            <w:tcW w:w="4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Net loss before income taxes</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(245,390)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(6,819)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(174,186)</w:t>
            </w:r>
          </w:p>
        </w:tc>
      </w:tr>
      <w:tr>
        <w:trPr>
          <w:trHeight w:val="17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or benefit for income taxes</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36,595</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E</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49,142</w:t>
            </w:r>
          </w:p>
        </w:tc>
      </w:tr>
      <w:tr>
        <w:trPr>
          <w:trHeight w:val="175"/>
        </w:trPr>
        <w:tc>
          <w:tcPr>
            <w:tcW w:w="4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Net loss</w:t>
            </w: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(245,390)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(36,892)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29,776</w:t>
            </w:r>
          </w:p>
        </w:tc>
        <w:tc>
          <w:tcPr>
            <w:tcW w:w="3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127,462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(125,044)</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4"/>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shares outstanding, basic and diluted</w:t>
            </w: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108,077,439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130,000,000</w:t>
            </w: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238,077,439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50"/>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Basic and diluted net loss per share</w:t>
            </w: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(0.53)</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acquisition proforma adjustments to give effect to the completed Acquisition as if it had been consummated on January 1, 2021.</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relates to intercompany revenue elimination for Legacy GeneDx revenue earned for services performed for BioReference Laboratories, Inc prior to the closing of the Acquisition.</w:t>
      </w:r>
    </w:p>
    <w:p>
      <w:pPr>
        <w:spacing w:after="0" w:line="14" w:lineRule="exact"/>
        <w:rPr>
          <w:rFonts w:ascii="Times New Roman" w:cs="Times New Roman" w:eastAsia="Times New Roman" w:hAnsi="Times New Roman"/>
          <w:sz w:val="14"/>
          <w:szCs w:val="14"/>
          <w:color w:val="auto"/>
        </w:rPr>
      </w:pPr>
    </w:p>
    <w:p>
      <w:pPr>
        <w:ind w:left="340" w:right="20" w:hanging="332"/>
        <w:spacing w:after="0" w:line="257" w:lineRule="auto"/>
        <w:tabs>
          <w:tab w:leader="none" w:pos="329"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stock-based compensation expense for inducement awards granted to GeneDx employees. On May 2, 2022, the compensation committee of the Company’s board of directors granted newly-hired Legacy GeneDx employees inducement stock options to purchase an aggregate of 4,932,132 shares of the Company’s Class A common stock and 4,285,208 RSUs as inducements material to each employee entering into employment with the Company. The stock options have an exercise price of $2.20 per share, which was equal to the closing price of the Company’s Class A common stock on the grant date. The stock options and RSUs granted to the newly-hired employees other than the Company’s Chief Executive Officer, Chief Growth Officer, and Chief Financial Officer (formerly, the Senior Vice President, Operations) will vest with respect to 25% of the underlying shares on April 29, 2023, and will vest with respect to the remaining underlying shares in equal quarterly installments thereafter through April 29, 2026, in each case subject to the new employee’s continued service with the Company. The stock options and RSUs granted to the Company’s Chief Executive Officer, Chief Growth Officer, and Chief Financial Officer will vest with respect to 25% of the underlying shares on April 29, 2023 and 25% of the underlying shares on April 29, 2024, and will vest with respect to the remaining underlying shares in equal quarterly installments thereafter through April 29, 2026, in each case subject to his or her continued service with the Company. Each stock option has a 10-year term. The stock options and RSUs are subject to the terms and conditions identical to those of the Company's 2021 Equity Incentive Plan and the form of stock option agreement or RSU agreement under such plan, as applicable, covering the grant. The adjustment includes elimination of $1.8 million in legacy stock-based compensation expense and recording of $9.4 million based on the inducement awards as discussed above.</w:t>
      </w:r>
    </w:p>
    <w:p>
      <w:pPr>
        <w:spacing w:after="0" w:line="7" w:lineRule="exact"/>
        <w:rPr>
          <w:rFonts w:ascii="Times New Roman" w:cs="Times New Roman" w:eastAsia="Times New Roman" w:hAnsi="Times New Roman"/>
          <w:sz w:val="14"/>
          <w:szCs w:val="14"/>
          <w:color w:val="auto"/>
        </w:rPr>
      </w:pPr>
    </w:p>
    <w:p>
      <w:pPr>
        <w:ind w:left="340" w:hanging="332"/>
        <w:spacing w:after="0" w:line="261" w:lineRule="auto"/>
        <w:tabs>
          <w:tab w:leader="none" w:pos="33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Pre-Acquisition period amortization expense related to the legacy intangible assets was eliminated and replaced with revised amortization expense based on the fair value of intangible assets recorded in connection with the Acquisition. A total of $196 million of intangible assets were recorded based on the Company’s preliminary purchase accounting assessments. This balance consists of tradenames and trademarks, developed technology and customer relationships of $50 million, $48 million and $98 million, respectively. Further details of the intangible assets are disclosed in the Company’s Quarterly Reports on Form 10-Q for the second and third quarters ended in 2022, which are incorporated by reference into this prospectus supplement. Related amortization expense for customer relationships of $4.9 million is recorded as an adjustment in selling and marketing and amortization expense for tradenames and trademarks and developed technology of $7.7 million in total is recorded as an adjustment in general and administrative. The adjustment was offset by elimination of the legacy intangible asset amortization of $16.8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35" w:lineRule="exact"/>
        <w:rPr>
          <w:sz w:val="20"/>
          <w:szCs w:val="20"/>
          <w:color w:val="auto"/>
        </w:rPr>
      </w:pPr>
    </w:p>
    <w:p>
      <w:pPr>
        <w:ind w:left="332" w:hanging="332"/>
        <w:spacing w:after="0" w:line="271" w:lineRule="auto"/>
        <w:tabs>
          <w:tab w:leader="none" w:pos="32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relates to addition of the income tax benefit of $49.1 million for the Company because the acquisition is assumed to have occurred on January 1, 2021. Legacy GeneDx tax benefit of $12.5 million was also eliminated as we note OPKO to absorb this benefit.</w:t>
      </w:r>
    </w:p>
    <w:p>
      <w:pPr>
        <w:ind w:left="332" w:right="180" w:hanging="332"/>
        <w:spacing w:after="0" w:line="263" w:lineRule="auto"/>
        <w:tabs>
          <w:tab w:leader="none" w:pos="31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in this column relate to revenue and expenses that are specifically attributable to operations of reproductive and women’s health testing, COVID-19 and somatic testing businesses that have been exited. Any corporate overhead is excluded from the adjustments as it is not specifically attributable to the exited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0892"/>
          </w:cols>
          <w:pgMar w:left="328" w:top="1440" w:right="679" w:bottom="1440" w:gutter="0" w:footer="0" w:header="0"/>
        </w:sectPr>
      </w:pPr>
    </w:p>
    <w:bookmarkStart w:id="28" w:name="page29"/>
    <w:bookmarkEnd w:id="2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prospectus supplement, the accompanying prospectus and the documents incorporated by reference herein and therein may constitute forward-looking statements for purposes of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 and elsewhere in this prospectus supplement, the accompanying prospectus and the documents incorporated by reference herein and therein,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application of the net proceeds from this offering and the concurrent registered direct offering;</w:t>
      </w:r>
    </w:p>
    <w:p>
      <w:pPr>
        <w:spacing w:after="0" w:line="171" w:lineRule="exact"/>
        <w:rPr>
          <w:rFonts w:ascii="Times New Roman" w:cs="Times New Roman" w:eastAsia="Times New Roman" w:hAnsi="Times New Roman"/>
          <w:sz w:val="18"/>
          <w:szCs w:val="18"/>
          <w:color w:val="auto"/>
        </w:rPr>
      </w:pPr>
    </w:p>
    <w:p>
      <w:pPr>
        <w:ind w:left="660" w:right="9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including supply chain interruptions and manufacturing constraints, arising from or related to the ongoing COVID-19 pandemic;</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plans to pursue a new strategic direction, exit our reproductive and women’s health testing business and our ability to scale to profitability, as well as our plans to exit our somatic tumor testing services and the associated cost savings and impact on our gross margins;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or other regulatory authorities;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laboratories and service providers for our test volume in connection with our diagnostic solutions and data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Nasdaq listing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jc w:val="both"/>
        <w:ind w:left="660" w:right="4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and judgments, including our expectations regarding our ability to continue as a going concern, the adequacy of our reserves for third party payor claims, our estimates of the fair value of the milestone payments related to the Acquisition and our conclusions regarding the appropriateness of the carrying value of intangible assets and goodwill;</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the accompanying prospectus and the documents incorporated by reference herein and therein reflect our views and assumptions only as of the date of this prospectus supplement, the accompanying prospectus or such document, as applicable. Except as required by law, we assume no responsibility for updating any forward-looking statements.</w:t>
      </w:r>
    </w:p>
    <w:p>
      <w:pPr>
        <w:spacing w:after="0" w:line="12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tabs>
          <w:tab w:leader="none" w:pos="9160" w:val="left"/>
        </w:tabs>
        <w:rPr>
          <w:sz w:val="20"/>
          <w:szCs w:val="20"/>
          <w:color w:val="auto"/>
        </w:rPr>
      </w:pPr>
      <w:r>
        <w:rPr>
          <w:rFonts w:ascii="Times New Roman" w:cs="Times New Roman" w:eastAsia="Times New Roman" w:hAnsi="Times New Roman"/>
          <w:sz w:val="18"/>
          <w:szCs w:val="18"/>
          <w:color w:val="auto"/>
        </w:rPr>
        <w:t>We estimate that our net proceeds from this offering and the concurrent registered direct offering will be approximately $</w:t>
      </w:r>
      <w:r>
        <w:rPr>
          <w:sz w:val="20"/>
          <w:szCs w:val="20"/>
          <w:color w:val="auto"/>
        </w:rPr>
        <w:tab/>
      </w:r>
      <w:r>
        <w:rPr>
          <w:rFonts w:ascii="Times New Roman" w:cs="Times New Roman" w:eastAsia="Times New Roman" w:hAnsi="Times New Roman"/>
          <w:sz w:val="18"/>
          <w:szCs w:val="18"/>
          <w:color w:val="auto"/>
        </w:rPr>
        <w:t>million after deducting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 expenses payable by us. If the underwriter’s option to purchase additional shares of Class</w:t>
      </w:r>
    </w:p>
    <w:p>
      <w:pPr>
        <w:spacing w:after="0" w:line="9" w:lineRule="exact"/>
        <w:rPr>
          <w:sz w:val="20"/>
          <w:szCs w:val="20"/>
          <w:color w:val="auto"/>
        </w:rPr>
      </w:pPr>
    </w:p>
    <w:p>
      <w:pPr>
        <w:spacing w:after="0"/>
        <w:tabs>
          <w:tab w:leader="none" w:pos="7800" w:val="left"/>
        </w:tabs>
        <w:rPr>
          <w:sz w:val="20"/>
          <w:szCs w:val="20"/>
          <w:color w:val="auto"/>
        </w:rPr>
      </w:pPr>
      <w:r>
        <w:rPr>
          <w:rFonts w:ascii="Times New Roman" w:cs="Times New Roman" w:eastAsia="Times New Roman" w:hAnsi="Times New Roman"/>
          <w:sz w:val="18"/>
          <w:szCs w:val="18"/>
          <w:color w:val="auto"/>
        </w:rPr>
        <w:t>A common stock is exercised in full, we estimate that we will receive net proceeds of approximately $</w:t>
      </w:r>
      <w:r>
        <w:rPr>
          <w:sz w:val="20"/>
          <w:szCs w:val="20"/>
          <w:color w:val="auto"/>
        </w:rPr>
        <w:tab/>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registered direct offering primarily for general corporate purposes, including additions to working capital, repayment or redemption of existing indebtedness, and strategic investment opportunities. We expect the net proceeds from this offering and the concurrent registered direct offering, together with our existing cash, and cash equivalents, to be sufficient to fund our business operations through at least the next 12 months.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factors described under “Risk Factors” in this prospectus supplement, the accompanying prospectus and the documents incorporated by reference herein, as well as the amount of cash used in our operations. As a result, our management will have broad discretion over the uses of the net proceeds from this offering and the concurrent registered direct offering and investors will be relying on the judgment of our management regarding the application of the proceeds. Pending these uses, we intend to invest the net proceeds in short-term, interest-bearing obligations, investment-grade instruments, certificates of deposit or guaranteed obligations of the U.S. government.</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expected use of the net proceeds to us from this offering and the concurrent registered direct offering represents our intentions based upon our current plans and business conditions. As of the date of this prospectus supplement, we cannot predict with any certainty all of the particular uses for the net proceeds or the amounts that we will actually spend on the uses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17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We are offering</w:t>
      </w:r>
      <w:r>
        <w:rPr>
          <w:sz w:val="20"/>
          <w:szCs w:val="20"/>
          <w:color w:val="auto"/>
        </w:rPr>
        <w:tab/>
      </w:r>
      <w:r>
        <w:rPr>
          <w:rFonts w:ascii="Times New Roman" w:cs="Times New Roman" w:eastAsia="Times New Roman" w:hAnsi="Times New Roman"/>
          <w:sz w:val="17"/>
          <w:szCs w:val="17"/>
          <w:color w:val="auto"/>
        </w:rPr>
        <w:t>shares of our Class A common stock. The material terms and provisions of our Class A common stock and each other class of our</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securities which qualifies or limits our Class A common stock are described under the caption “</w:t>
      </w:r>
      <w:r>
        <w:rPr>
          <w:rFonts w:ascii="Times New Roman" w:cs="Times New Roman" w:eastAsia="Times New Roman" w:hAnsi="Times New Roman"/>
          <w:sz w:val="18"/>
          <w:szCs w:val="18"/>
          <w:i w:val="1"/>
          <w:iCs w:val="1"/>
          <w:color w:val="auto"/>
        </w:rPr>
        <w:t>Description of Our Capital Stock</w:t>
      </w:r>
      <w:r>
        <w:rPr>
          <w:rFonts w:ascii="Times New Roman" w:cs="Times New Roman" w:eastAsia="Times New Roman" w:hAnsi="Times New Roman"/>
          <w:sz w:val="18"/>
          <w:szCs w:val="18"/>
          <w:color w:val="auto"/>
        </w:rPr>
        <w:t>” starting on page 13 in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subject to applicable laws, and will depend on our financial condition, results of operations, capital requirements, restrictions in the agreements governing any indebtedness we may enter into, general business conditions and other factors that our board of directors considers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September 30, 2022:</w:t>
      </w:r>
    </w:p>
    <w:p>
      <w:pPr>
        <w:spacing w:after="0" w:line="1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giving effect to the sale and issuance by us of shares of Class A common stock in this offering and the concurrent</w:t>
      </w:r>
    </w:p>
    <w:p>
      <w:pPr>
        <w:spacing w:after="0" w:line="27" w:lineRule="exact"/>
        <w:rPr>
          <w:rFonts w:ascii="Times New Roman" w:cs="Times New Roman" w:eastAsia="Times New Roman" w:hAnsi="Times New Roman"/>
          <w:sz w:val="18"/>
          <w:szCs w:val="18"/>
          <w:color w:val="auto"/>
        </w:rPr>
      </w:pPr>
    </w:p>
    <w:p>
      <w:pPr>
        <w:ind w:left="660" w:right="6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direct offering, at the public offering price of $ per share, after deducting the underwriting discount and commissions, and estimated offering expenses payable by us.</w:t>
      </w:r>
    </w:p>
    <w:p>
      <w:pPr>
        <w:spacing w:after="0" w:line="1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can offer no assurance that the concurrent registered direct offering will close, and if it does not close, the amount of our net proceeds will be limited to the net proceeds from this offering.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September 30,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dollars and in thousands, except share and per share amounts)</w:t>
            </w:r>
          </w:p>
        </w:tc>
        <w:tc>
          <w:tcPr>
            <w:tcW w:w="3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5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3"/>
        </w:trPr>
        <w:tc>
          <w:tcPr>
            <w:tcW w:w="80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7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19"/>
                <w:szCs w:val="19"/>
                <w:color w:val="auto"/>
              </w:rPr>
            </w:pPr>
          </w:p>
        </w:tc>
      </w:tr>
      <w:tr>
        <w:trPr>
          <w:trHeight w:val="176"/>
        </w:trPr>
        <w:tc>
          <w:tcPr>
            <w:tcW w:w="8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1,000,000,000 shares authorized; 381,428,905 shares issued,</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3"/>
        </w:trPr>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actual;</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issued, as adjusted</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(815,660)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8"/>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763,305</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381,428,905 shares of Class A common stock outstanding as of September 30, 2022 and excludes the following securities:</w:t>
      </w:r>
    </w:p>
    <w:p>
      <w:pPr>
        <w:spacing w:after="0" w:line="108" w:lineRule="exact"/>
        <w:rPr>
          <w:sz w:val="20"/>
          <w:szCs w:val="20"/>
          <w:color w:val="auto"/>
        </w:rPr>
      </w:pPr>
    </w:p>
    <w:p>
      <w:pPr>
        <w:ind w:left="660" w:right="2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21,994,972 shares of Class A common stock issuable upon exercise of warrants outstanding as of September 30, 2022 with an exercise price of $11.50 per share;</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32,354,294 shares of Class A common stock issuable upon exercise of options outstanding as of September 30, 2022 with a weighted average exercise price of $1.47 per share;</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23,871,012 shares of common stock issuable upon vesting and settlement of RSUs (excluding the Earn-Out RSUs) outstanding as of September 30, 2022;</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shares of Class A common stock that may be issuable (1) to certain former equity holders of Legacy Sema4 upon the achievement of certain vesting conditions and (2) upon the vesting and settlement of the Earn-Out RSUs that were granted to certain former equity award holders of Legacy Sema4 and certain employees of the Company;</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30,864,198 shares of our Class A common stock that may be issuable to OPKO in connection with the achievement of certain revenue-based milestones for each of the fiscal years ending December 31, 2022 and December 31, 2023; and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22,111,381 shares of Class A common stock reserved and available for future issuance as of September 30, 2022, under our equity incentive plan and employee stock purchase plan, consisting of (1) 14,881,582 shares of Class A common stock reserved and available for issuance under our 2021 Equity Incentive Plan as of September 30, 2022, and (2) 7,229,799 shares of Class A common stock reserved for issuance under our 2021 Employee Stock Purchase Plan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you invest in our Class A common stock, your interest will be diluted to the extent of the difference between the price per share you pay in this offering and the net tangible book value per share of our Class A common stock immediately after this offering and the concurrent registered direct offering. Our net tangible book value of our Class A common stock as of September 30, 2022 was approximately $144.7 million, or approximately $0.38 per share of Class A common stock based upon 381,428,905 shares outstanding as of September 30, 2022. Net tangible book value per share is equal to our total tangible assets, less our total liabilities, divided by the total number of shares outstanding as of September 30, 2022.</w:t>
      </w:r>
    </w:p>
    <w:p>
      <w:pPr>
        <w:spacing w:after="0" w:line="129"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7"/>
          <w:szCs w:val="17"/>
          <w:color w:val="auto"/>
        </w:rPr>
        <w:t>After giving effect to the sale of our Class A common stock in this offering and the concurrent registered direct offering at the public offering price of $ per share and after deducting commissions and estimated offering expenses payable by us, our as adjusted net tangible book value as of September 30,</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2022 would have been approximately $ , or $ per share of Class A common stock. This represents an immediate increase in net tangible book value of $ per share of Class A common stock to our existing stockholders and an immediate dilution in net tangible book value of $ per share of Class A common stock to new investors purchasing Class A common stock in this offering at the public offering price.</w:t>
      </w:r>
    </w:p>
    <w:p>
      <w:pPr>
        <w:spacing w:after="0" w:line="13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illustrates this calculation on a per share basis. The as-adjusted information is illustrative only and will adjust based on the actual price to the public, the actual number of shares sold and other terms of the offering and the concurrent registered direct offering determined at the time shares of our Class A common stock are sold pursuant to this prospectus supplement and the accompanying prospectus.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2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2022</w:t>
            </w:r>
          </w:p>
        </w:tc>
        <w:tc>
          <w:tcPr>
            <w:tcW w:w="220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5"/>
        </w:trPr>
        <w:tc>
          <w:tcPr>
            <w:tcW w:w="8680" w:type="dxa"/>
            <w:vAlign w:val="bottom"/>
            <w:gridSpan w:val="5"/>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the offering and the concurrent registered direct</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2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offering</w:t>
            </w:r>
          </w:p>
        </w:tc>
        <w:tc>
          <w:tcPr>
            <w:tcW w:w="306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156"/>
        </w:trPr>
        <w:tc>
          <w:tcPr>
            <w:tcW w:w="804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8"/>
                <w:szCs w:val="18"/>
                <w:color w:val="auto"/>
              </w:rPr>
              <w:t>As adjusted net tangible book value per share after giving effect to the offering and the concurrent registered</w:t>
            </w: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9"/>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offering</w:t>
            </w:r>
          </w:p>
        </w:tc>
        <w:tc>
          <w:tcPr>
            <w:tcW w:w="306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52"/>
        </w:trPr>
        <w:tc>
          <w:tcPr>
            <w:tcW w:w="86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per share to new investors participating in the offering and the concurrent registered direct offering</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20" w:type="dxa"/>
            <w:vAlign w:val="bottom"/>
            <w:tcBorders>
              <w:top w:val="single" w:sz="8" w:color="CCEEFF"/>
            </w:tcBorders>
            <w:gridSpan w:val="2"/>
          </w:tcPr>
          <w:p>
            <w:pPr>
              <w:spacing w:after="0" w:line="20" w:lineRule="exact"/>
              <w:rPr>
                <w:sz w:val="1"/>
                <w:szCs w:val="1"/>
                <w:color w:val="auto"/>
              </w:rPr>
            </w:pPr>
          </w:p>
        </w:tc>
        <w:tc>
          <w:tcPr>
            <w:tcW w:w="2720" w:type="dxa"/>
            <w:vAlign w:val="bottom"/>
            <w:tcBorders>
              <w:top w:val="single" w:sz="8" w:color="CCEEFF"/>
            </w:tcBorders>
            <w:gridSpan w:val="2"/>
          </w:tcPr>
          <w:p>
            <w:pPr>
              <w:spacing w:after="0" w:line="20" w:lineRule="exact"/>
              <w:rPr>
                <w:sz w:val="1"/>
                <w:szCs w:val="1"/>
                <w:color w:val="auto"/>
              </w:rPr>
            </w:pPr>
          </w:p>
        </w:tc>
        <w:tc>
          <w:tcPr>
            <w:tcW w:w="15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42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the underwriter exercises in full its option to purchase an additional</w:t>
            </w:r>
          </w:p>
        </w:tc>
        <w:tc>
          <w:tcPr>
            <w:tcW w:w="502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shares of Class A common stock at the public offering price of $</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per</w:t>
            </w:r>
          </w:p>
        </w:tc>
      </w:tr>
      <w:tr>
        <w:trPr>
          <w:trHeight w:val="216"/>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our as adjusted net tangible book value per share as of September 30, 2022 would have been $</w:t>
            </w:r>
          </w:p>
        </w:tc>
        <w:tc>
          <w:tcPr>
            <w:tcW w:w="37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per share, representing an immediate increase in</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of $</w:t>
            </w:r>
          </w:p>
        </w:tc>
        <w:tc>
          <w:tcPr>
            <w:tcW w:w="89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per share of Class A common stock to our existing stockholders and an immediate dilution in net tangible book value of</w:t>
            </w:r>
          </w:p>
        </w:tc>
      </w:tr>
    </w:tbl>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Class A common stock to new investors purchasing shares Class A common stock in this offering.</w:t>
      </w:r>
    </w:p>
    <w:p>
      <w:pPr>
        <w:spacing w:after="0" w:line="15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number of shares of our Class A common stock shown above to be outstanding after this offering and the concurrent registered direct offering is based on 381,428,905 shares of our Class A common stock outstanding as of September 30, 2022, and excludes:</w:t>
      </w:r>
    </w:p>
    <w:p>
      <w:pPr>
        <w:spacing w:after="0" w:line="108" w:lineRule="exact"/>
        <w:rPr>
          <w:sz w:val="20"/>
          <w:szCs w:val="20"/>
          <w:color w:val="auto"/>
        </w:rPr>
      </w:pPr>
    </w:p>
    <w:p>
      <w:pPr>
        <w:ind w:left="660" w:right="2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21,994,972 shares of Class A common stock issuable upon exercise of warrants outstanding as of September 30, 2022 with an exercise price of $11.50 per share;</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32,354,294 shares of Class A common stock issuable upon exercise of options outstanding as of September 30, 2022 with a weighted average exercise price of $l.47 per share;</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23,871,012 shares of common stock issuable upon vesting and settlement of RSUs (excluding the Earn-Out RSUs) outstanding as of September 30;</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shares of Class A common stock that may be issuable (1) to certain former equity holders of Legacy Sema4 upon the achievement of certain vesting conditions and (2) upon the vesting and settlement of the Earn-Out RSUs that were granted to certain former equity award holders of Legacy Sema4 and certain employees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ind w:left="328" w:hanging="328"/>
        <w:spacing w:after="0" w:line="282" w:lineRule="auto"/>
        <w:tabs>
          <w:tab w:leader="none" w:pos="3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30,864,198 shares of our Class A common stock that may be issuable to OPKO in connection with the achievement of certain revenue-based milestones for each of the fiscal years ending December 31, 2022 and December 31, 2023; and</w:t>
      </w:r>
    </w:p>
    <w:p>
      <w:pPr>
        <w:spacing w:after="0" w:line="107" w:lineRule="exact"/>
        <w:rPr>
          <w:rFonts w:ascii="Times New Roman" w:cs="Times New Roman" w:eastAsia="Times New Roman" w:hAnsi="Times New Roman"/>
          <w:sz w:val="18"/>
          <w:szCs w:val="18"/>
          <w:color w:val="auto"/>
        </w:rPr>
      </w:pPr>
    </w:p>
    <w:p>
      <w:pPr>
        <w:ind w:left="328" w:right="100" w:hanging="328"/>
        <w:spacing w:after="0" w:line="261" w:lineRule="auto"/>
        <w:tabs>
          <w:tab w:leader="none" w:pos="3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22,111,381 shares of Class A common stock reserved and available for future issuance as of September 30, 2022, under our equity incentive plan and employee stock purchase plan, consisting of (1) 14,881,582 shares of Class A common stock reserved and available for issuance under our 2021 Equity Incentive Plan as of September 30, 2022, and (2) 7,229,799 shares of Class A common stock reserved for issuance under our 2021 Employee Stock Purchase Plan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0868"/>
          </w:cols>
          <w:pgMar w:left="652" w:top="1440" w:right="379" w:bottom="1440" w:gutter="0" w:footer="0" w:header="0"/>
        </w:sectPr>
      </w:pPr>
    </w:p>
    <w:bookmarkStart w:id="36" w:name="page37"/>
    <w:bookmarkEnd w:id="3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We are pursuing a new strategic direction focused on our exome and genome sequencing business coupled with our Centrellis® data platform. We are in the process of exiting the reproductive and women’s health testing business, which we expect to complete by the end of the first quarter of 2023, and we also completed the exit of the somatic tumor testing business during the fourth quarter of 2022. For more information, see “Prospectus Supplement Summary—Recent Developments—Legacy Sema4 Business Exits.” Unless the context otherwise requires, the description of our business and operations below assumes the completion of the exits from the somatic tumor testing and the reproductive and women’s health testing businesses.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with conviction that what is best for patients must be embedded in every aspect of our work. At GeneDx, we believe:</w:t>
      </w:r>
    </w:p>
    <w:p>
      <w:pPr>
        <w:spacing w:after="0" w:line="171" w:lineRule="exact"/>
        <w:rPr>
          <w:sz w:val="20"/>
          <w:szCs w:val="20"/>
          <w:color w:val="auto"/>
        </w:rPr>
      </w:pPr>
    </w:p>
    <w:p>
      <w:pPr>
        <w:ind w:left="660" w:right="300" w:hanging="324"/>
        <w:spacing w:after="0" w:line="282" w:lineRule="auto"/>
        <w:rPr>
          <w:sz w:val="20"/>
          <w:szCs w:val="20"/>
          <w:color w:val="auto"/>
        </w:rPr>
      </w:pPr>
      <w:r>
        <w:rPr>
          <w:rFonts w:ascii="Times New Roman" w:cs="Times New Roman" w:eastAsia="Times New Roman" w:hAnsi="Times New Roman"/>
          <w:sz w:val="18"/>
          <w:szCs w:val="18"/>
          <w:color w:val="auto"/>
        </w:rPr>
        <w:t>– genomic information has broad utility and every person should have access to their genome—delivered expertly, ethically and responsibly—to guide health decisions throughout life;</w:t>
      </w:r>
    </w:p>
    <w:p>
      <w:pPr>
        <w:spacing w:after="0" w:line="107" w:lineRule="exact"/>
        <w:rPr>
          <w:sz w:val="20"/>
          <w:szCs w:val="20"/>
          <w:color w:val="auto"/>
        </w:rPr>
      </w:pPr>
    </w:p>
    <w:p>
      <w:pPr>
        <w:ind w:left="660" w:right="520" w:hanging="324"/>
        <w:spacing w:after="0" w:line="282" w:lineRule="auto"/>
        <w:rPr>
          <w:sz w:val="20"/>
          <w:szCs w:val="20"/>
          <w:color w:val="auto"/>
        </w:rPr>
      </w:pPr>
      <w:r>
        <w:rPr>
          <w:rFonts w:ascii="Times New Roman" w:cs="Times New Roman" w:eastAsia="Times New Roman" w:hAnsi="Times New Roman"/>
          <w:sz w:val="18"/>
          <w:szCs w:val="18"/>
          <w:color w:val="auto"/>
        </w:rPr>
        <w:t>– exome and Whole Genome Sequencing (“WGS”) will facilitate a transition from hypothesis-based to genome-guided healthcare which will improve outcomes for patients and healthcare systems that benefit society as a whole;</w:t>
      </w:r>
    </w:p>
    <w:p>
      <w:pPr>
        <w:spacing w:after="0" w:line="107" w:lineRule="exact"/>
        <w:rPr>
          <w:sz w:val="20"/>
          <w:szCs w:val="20"/>
          <w:color w:val="auto"/>
        </w:rPr>
      </w:pPr>
    </w:p>
    <w:p>
      <w:pPr>
        <w:ind w:left="660" w:right="560" w:hanging="324"/>
        <w:spacing w:after="0" w:line="282" w:lineRule="auto"/>
        <w:rPr>
          <w:sz w:val="20"/>
          <w:szCs w:val="20"/>
          <w:color w:val="auto"/>
        </w:rPr>
      </w:pPr>
      <w:r>
        <w:rPr>
          <w:rFonts w:ascii="Times New Roman" w:cs="Times New Roman" w:eastAsia="Times New Roman" w:hAnsi="Times New Roman"/>
          <w:sz w:val="18"/>
          <w:szCs w:val="18"/>
          <w:color w:val="auto"/>
        </w:rPr>
        <w:t>– the ability to curate and combine genomic information with clinical and electronic medical record (“EMR”) data will transform therapeutic development, bringing better therapies to patients, faster; and;</w:t>
      </w:r>
    </w:p>
    <w:p>
      <w:pPr>
        <w:spacing w:after="0" w:line="107" w:lineRule="exact"/>
        <w:rPr>
          <w:sz w:val="20"/>
          <w:szCs w:val="20"/>
          <w:color w:val="auto"/>
        </w:rPr>
      </w:pPr>
    </w:p>
    <w:p>
      <w:pPr>
        <w:ind w:left="660" w:right="580" w:hanging="324"/>
        <w:spacing w:after="0" w:line="282" w:lineRule="auto"/>
        <w:rPr>
          <w:sz w:val="20"/>
          <w:szCs w:val="20"/>
          <w:color w:val="auto"/>
        </w:rPr>
      </w:pPr>
      <w:r>
        <w:rPr>
          <w:rFonts w:ascii="Times New Roman" w:cs="Times New Roman" w:eastAsia="Times New Roman" w:hAnsi="Times New Roman"/>
          <w:sz w:val="18"/>
          <w:szCs w:val="18"/>
          <w:color w:val="auto"/>
        </w:rPr>
        <w:t>– patients should control and have the ability to direct the use of their genomic information to both benefit themselves and advance scientific understanding that helps others.</w:t>
      </w:r>
    </w:p>
    <w:p>
      <w:pPr>
        <w:spacing w:after="0" w:line="108"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In support of these beliefs, we value equitability, simplicity and transparency. Through this value system, we aim to deliver personalized and actionable health insights to inform diagnosis, direct treatment and improve drug discovery, bringing better health from genomics to patients around the world.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GeneDx is focused on delivering personalized and actionable health insights to inform diagnosis, direct treatment and improve drug discovery. We sit at the intersection of diagnostics and data science, pairing decades of genomic expertise with an ability to interpret clinical data at scale. We believe we are well-positioned to accelerate the use of genomics and leverage large-scale clinical data to enable precision medicine as the standard of care. Our initial focus is in pediatric and rare diseases, two areas in which we believe we have competitive advantage and can deliver on our vision today.</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rare and ultra-rare genetic pediatric disorders. More than 20 years later, we have amassed one of the world’s largest rare disease data sets and remain a leader in genomics. In May 2022, GeneDx integrated with Sema4 Holdings, adding legacy Sema4’s Centrellis®, a highly innovative health information platform to our portfolio of solutions. Centrellis® integrates digital tools and artificial intelligence, allowing our scientists to ingest and synthesize clinical and genomic data to deliver better, more comprehensive health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3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Today, we are powered by our industry-leading genomic interpretation platform and Centrellis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We believe exome and genome testing will become the standard for diagnosis of genetic disease, with the potential to transform healthcare and improve patients’ quality of life for generations by sequencing once and analyzing for a lifetime.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237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Targeted genetic tests and panel testing make up the vast majority of diagnostics tests ordered today. While panel testing can be immensely valuable, it has an increasing limitation as we move towards genetic-based healthcare. Panels only allow you to test for insights that physicians predefine based on symptoms, which can lead to inconclusive results and an inefficient process. It is hypothesis-based medicine based on symptoms that may overlap across diseases. We firmly believe that an affordable, scalable and actionable genome is the future of medicine. The barrier to having actionable information from a genomic sequence is significant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and not just due to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are coming down. The less-discussed barrier to having actionable information lies in the ability to process a genome’s worth of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quickly and scalably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and to deliver both a result that a clinician can easily act upon to help a patient, and a robust dataset that enables clinicians to drive precise diagnosis and researchers to develop and advance therapeutics.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Most companies in today’s genetics industry are taking a test-by-test approach to cross the chasm from genetics early adopters to genome guided healthcare in the mainstream market. We believe that driving clinician and patient awareness and influencing policy decisions may facilitate uptake within the industry. In addition, making genetics part of mainstream medicine requires advancing the technology to provide personalized and actionable health insights. It also will require having a robust, well-characterized dataset that can maximize answers and minimize unknowns and that can drive a new era of discovery.</w:t>
      </w:r>
    </w:p>
    <w:p>
      <w:pPr>
        <w:spacing w:after="0" w:line="1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Exome and whole genome sequencing provide the broadest view into the genomic variant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we are looking comprehensively into over 20,000 genes, while panels look at anywhere from two to a few hundred genes. While most companies in the industry have grown through a focus on panels, we have focused on exome and whole genome developing structured gene-disease knowledge curated by our team of experts to power automated interpretation and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Test</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genome is composed of 3 billion “letters”, or base pairs, of DNA. The exome is a portion of the genome that encodes proteins, which are involved in many different types of cellular functions. Changes in the genome and exome can change the way proteins are formed or are utilized by the cell, potentially causing disease.</w:t>
      </w:r>
    </w:p>
    <w:p>
      <w:pPr>
        <w:spacing w:after="0" w:line="12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When patients present with complex issues, a genetic diagnosis may be available, but a traditional genetic panel test may be too narrow to identify the cause. Some genetic disorders present with very specific symptoms, so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4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that read the “letters” of a single gene or a small panel of genes, may make sense for physicians to use in diagnosis. But for many other genetic diseases, patients can present with overlapping symptoms and so finding the correct diagnosis is not always straightforward and may require multiple tests, costly evaluations, invasive procedures, and long hospital stays. Exome and genome sequencing can find different genetic alterations, or variants, that more targeted tests miss and are especially useful when the timing is critical to directing or altering medical management.</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With over 20 years of operation, GeneDx has a proven track record of expertise in genetic testing. We launched the industry’s first commercially available next generation sequencing panels in 2008, pioneered exome sequencing in 2012 and have sequenced over 400,000 exomes to date. We have performed over a million genetic tests and worked tirelessly to develop the following:</w:t>
      </w:r>
    </w:p>
    <w:p>
      <w:pPr>
        <w:spacing w:after="0" w:line="12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curated database of disease-associated genomic variants.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bioinformatics and variant interpretation pipelines.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exome and whole genome sequencing testing options.</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status quo of genetic testing requires repeated and fragmented testing, which in many cases, is conducted too late for physicians to use in treatment of patients. Targeted genetic tests and panels have been largely commoditized leaving physicians, healthcare partners and patients searching for deeper answers and enhanced utility. The scalable exome and whole genome interpretation that we can deliver at speed do not require a long, complex, expensive, expert-guided search and may make most other genetic tests obsolete. In addition, using whole genome testing is incredibly simple: it’s designed to be Just One Test.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Technology with a Human Touch</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team includes approximately 250 genetic counselors, physicians, scientists, and clinical and molecular genomics specialists. We believe we are one of the industry’s leading genetic testing experts. We share the same goal as healthcare providers, patients, and families: to provide personalized and actionable health insights.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years of exome and genome sequencing experience have provided us with a substantial dataset, including over 2.7 million structured phenotypes with nearly 60% of all exomes to date processed as parent-child trios. We have invested resources over time to annotate the phenotypes and sequence the parents of patients, because their genetic sequences can often provide additional diagnostic information, potentially improving the precision of genetic analysis. In addition, the data from more families allows us to continually improve interpretation of genetic code and variants that may cause disease. We believe we have more expertly annotated disease-causing variants than the largest public archive.</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Internally developed with over one million sequenced specimens, our database is designed to lead to increasingly reliable diagnostic test results. The structured gene-disease knowledge curated by our team of experts is powering automated interpretation and reporting built to handle genomic data at scale. Combined with our proprietary, state-of-the-art variant identification software, our ability to deliver highly accurate test results makes finding definitive diagnoses, even in complex cases, possible. Implemented with expert oversight, our advanced interpretation methods incorporate automation, bioinformatics, and cloud-based machine learning, enabling efficient discovery of genetic differences at previously undetectable levels.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the number of new patients we test grows, so does our database as new data increases the potential for greater insights. Comparing new cases against the data from previous cases helps to confirm whether a genetic variant is significant. Once new findings are identified, we aim to proactively reach out to healthcare providers and offer to reanalyze their patients’ previous results. Over time, our objective is to fully automate this reanalysis process in a convenient, easy to understand, efficient method.</w:t>
      </w:r>
    </w:p>
    <w:p>
      <w:pPr>
        <w:spacing w:after="0" w:line="12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In this new world of “one test,” people may be able to carry their genomic data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their DNA blueprints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with them throughout their life. GeneDx intends to assist in providing new answers from within, decoding more insights over time. As we capture more genomic and phenotypic data, we hope to fuel a positive feedback cycle of discovery that continuously delivers more value for patients, providers and healthcare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Delivering Health Insights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Centrellis®, our health information platform, is supported and fueled by genomic information from our diagnostic business and combined with an ever growing population of clinical health records and data. We engage with patients, physicians, health systems and other partners based on principles of transparency, choice, and consent. Driven by our direct engagement with patients and strategic relationships with multiple health systems, the database we have built contains extensive Electronic Medical Record (EMR) data, totaling approximately 3.1 million patient health records and has been designed to enable Centrellis® to draw from its extensive data assets in a way that enables physicians to proactively diagnose and manage disease. Our datasets include over 20 years of records abstracted from approximately 56 million clinical documents, 47 million phenotypes and 8 million disease diagnoses. We expect our current and targeted strategic relationships will provide us with access to additional active patient cohorts and datasets to continue to build our information base and enable our iterative, data-driven business model, including our genomic test solutions franchise.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primary growth engine in the short term will be expanding our current market-leading exome sequencing capabilities in the Neonatal Intensive Care Units (“NICU”) and Pediatric Developmental Disorder setting, as well as providing interpretation and information services for customers that sequence locally but look to GeneDx for analysis and interpretation, and providing our Centrellis® platform services to biopharmaceutical partners.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we are particularly well-suited for helping rare disease and pediatric developmental disorder patients, their care teams and biopharma companies today. This is a large market with immense unmet medical need. There are nearly 7,000 individual diseases affecting nearly 10% of the total population in the United States, of which 50% are children. As a result, there are over 700 medicines in development for these diseases, with a regulatory pathway facilitated by the Orphan Drug Act of 1983. By providing the precise genetic diagnosis of patients with rare disease, our expertise and technology may provide researchers and biopharma companies with the information needed to develop and commercialize a new treatment for the disease.</w:t>
      </w:r>
    </w:p>
    <w:p>
      <w:pPr>
        <w:spacing w:after="0" w:line="1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longer-term growth strategy is the expansion into whole genome testing for Adult Disorders and Newborn Screening, supported with the launch of a new customer experience platform for non-geneticists, patients and caregivers, and evidence generation to establish the clinical and economic benefits of screening.</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By unlocking the value of the products, our knowledge base, network of relationships, and expertise, our team is well positioned to lead what we believe is a nearly $30 billion global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80010</wp:posOffset>
            </wp:positionV>
            <wp:extent cx="5143500" cy="2357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200"/>
          </w:cols>
          <w:pgMar w:left="320" w:top="1440" w:right="379" w:bottom="1440" w:gutter="0" w:footer="0" w:header="0"/>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that the span and depth of our experience and dataset allows us to return more positive findings and thus clinical utility both immediately and over time through reanalysis. Importantly, we believe that we return fewer uncertain findings compared to public data sets, which makes our analysis easier to interpret outside of the medical genetics community.</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same time, we have improved quality and speed to delivery of exome and genome tests and have significantly lowered exome sequencing costs since 2013. Much of this decline was driven by reduced sequencing costs shared across the industry; however, we have reduced costs in the interpretation layer through accumulating data and experience, and we expect further decline in costs going forward.</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Leveraging these capabilities, we aim to be the global market leader in the development and delivery of reliable, actionable, scalable exome and genome sequencing and interpretation and information services. Our strategy focuses on the following objectives:</w:t>
      </w:r>
    </w:p>
    <w:p>
      <w:pPr>
        <w:spacing w:after="0" w:line="108" w:lineRule="exact"/>
        <w:rPr>
          <w:sz w:val="20"/>
          <w:szCs w:val="20"/>
          <w:color w:val="auto"/>
        </w:rPr>
      </w:pPr>
    </w:p>
    <w:p>
      <w:pPr>
        <w:ind w:left="660" w:right="3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utilization of exome and genome sequencing as the first- or second-tier test over most other genetically targeted tests by leveraging decades of earned trust amongst expert geneticists;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utilization of industry-leading exome and genome sequencing beyond the genetic experts into the non-expert setting, potentially creating a new standard of care which enables faster diagnoses, reduces suffering, and helps healthcare systems save money. In the near term, our principal target markets will be settings with the most vulnerable patients who can benefit the most including, but not limited to, NICU and patients with Pediatric Developmental Disorders.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achieve these objectives, we plan to:</w:t>
      </w:r>
    </w:p>
    <w:p>
      <w:pPr>
        <w:spacing w:after="0" w:line="171" w:lineRule="exact"/>
        <w:rPr>
          <w:sz w:val="20"/>
          <w:szCs w:val="20"/>
          <w:color w:val="auto"/>
        </w:rPr>
      </w:pPr>
    </w:p>
    <w:p>
      <w:pPr>
        <w:ind w:left="660" w:right="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build out of our commercial footprint to nearly 60 field-based sales representatives in 2023, and construct an industry-leading brand, product, marketing, communications and market access platform by leveraging decades of earned trust across the genetics community.</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leaders across health systems, manufacturers, commercial and governmental payers and advocacy groups. We aim to collaborate on programs to establish definitive clinical and economic case for broad use of genomic-guided medicine. Such programs will focus on:</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rapid whole genome sequencing in the NICU and Pediatric Developmental Disorder settings;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diagnosis of disease and prevention of chronic conditions in adults;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rapid whole genome sequencing for broad newborn screening.</w:t>
      </w:r>
    </w:p>
    <w:p>
      <w:pPr>
        <w:spacing w:after="0" w:line="171" w:lineRule="exact"/>
        <w:rPr>
          <w:rFonts w:ascii="Times New Roman" w:cs="Times New Roman" w:eastAsia="Times New Roman" w:hAnsi="Times New Roman"/>
          <w:sz w:val="18"/>
          <w:szCs w:val="18"/>
          <w:color w:val="auto"/>
        </w:rPr>
      </w:pPr>
    </w:p>
    <w:p>
      <w:pPr>
        <w:ind w:left="660" w:right="80" w:hanging="328"/>
        <w:spacing w:after="0" w:line="289" w:lineRule="auto"/>
        <w:tabs>
          <w:tab w:leader="none" w:pos="6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Open new markets and geographies and unlock the value of our dataset with independently scalable cloud-based interpretation and information service offerings. This will enable healthcare partners to incorporate genetics into clinical care by accessing our analysis and interpretation capabilities remotely while sequencing locally to reduce complexity, logistics cost and wait times, and align to local restrictions where applicable;</w:t>
      </w:r>
    </w:p>
    <w:p>
      <w:pPr>
        <w:spacing w:after="0" w:line="103" w:lineRule="exact"/>
        <w:rPr>
          <w:rFonts w:ascii="Times New Roman" w:cs="Times New Roman" w:eastAsia="Times New Roman" w:hAnsi="Times New Roman"/>
          <w:sz w:val="17"/>
          <w:szCs w:val="17"/>
          <w:color w:val="auto"/>
        </w:rPr>
      </w:pPr>
    </w:p>
    <w:p>
      <w:pPr>
        <w:ind w:left="660" w:right="20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 new provider and patient experience with the eventual goal of providing lifelong access and portability of genomic information. At initial sequence, rapid results provide clinicians simple, actionable, easy to understand results for non-geneticists and tailored resources for patients and caregivers. On an ongoing basis, reanalysis unlocks a renewable source of insight, replacing any future germline screening. We will sequence once, and analyze for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Centrellis® to become a solutions provider of choice for biopharma. Such solutions will focus on three value-added services:</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Finding rare disease patients for clinical trial recruitment and/or delivery of targeted therapeutics, eventually moving into other disease areas such as cardiology and oncology.</w:t>
      </w:r>
    </w:p>
    <w:p>
      <w:pPr>
        <w:spacing w:after="0" w:line="107"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 Supporting research and development for targeted therapies with analytic reports leveraging clinicogenomics data across multiple therapeutic areas with an initial emphasis in rare disease and oncology.</w:t>
      </w:r>
    </w:p>
    <w:p>
      <w:pPr>
        <w:spacing w:after="0" w:line="107"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In the long term, providing a therapeutic area agnostic platform to access to data, patients and insights for real world evidence and data to support end-to-end drug discovery pipeline.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include information technology, product development, customer experience, medical affairs, collaborations and research. These activities are principally focused on our efforts to develop and improve the software we use to analyze data, process genomic test orders, deliver reports, and improve customer experience.</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also participating in several collaborative studies aimed to provide evidence of the clinical and economic benefit for exome and whole genome sequencing. Two such studies currently underway include the SeqFirst study—in collaboration with Seattle Children’s Hospital and University of Washington—which is designed to demonstrate the broad utility of rapid whole genome sequencing for critically ill newborns and, the Genomic Uniform-Screening Against Rare Diseases In All Newborns (“GUARDIAN”) study—in collaboration with New York-Presbyterian, Columbia University, New York State Department of Health and Illumina—which is designed to assess whole genome sequencing to screen newborns for more conditions than those currently included in standard newborn screening in the United States. The goals of these studies are to drive earlier diagnosis and treatment to improve the health of the newborns who participate in such studies, generate evidence to support the expansion of newborn screening through genomic sequencing, and characterize the prevalence and natural history of rare genetic conditions.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competitors include companies that offer molecular genetic testing and consulting services, including specialty and reference laboratories that offer traditional single- and multi-gene tests and biopharmaceutical companies. In addition, there are a large number of new entrants into the market for genetic information ranging from informatics and analysis pipeline developers to focused, integrated providers of genetic tools and services for health and wellness, including Illumina, Inc., which is also one of our suppliers.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 Principal competitors include companies such Baylor, Centogene, Exact Sciences, Invitae, Neogenomics, Personalis, Caris and Tempus as well as other commercial and academic labs.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Seasonality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receive payment for our products and services from third-party payers, patients, business-to-business clients, and from other healthcare partners. Substantially all of our revenue for the nine-month period ending September 30, 2022 has been primarily derived from diagnostic test reports and we expect this trend to continue in the near-term. In the past 12 months, 94% of pediatric specialists in the United States who order exome testing have ordered from GeneDx. We expect over time to achieve a mix of revenue from diagnostic tests, data and information solutions, newborn screening products and information and interpretation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Less than 5% of our revenues today are derived from referral sources outside of the United States. We expect over time to increase rest of world revenue as knowledge and understanding of the benefits of exome and whole genome sequencing continue to expand.</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historically experienced higher revenue in our fourth quarter compared to other quarters in our fiscal year due in part to seasonal demand of our tests from patients who have met their annual insurance deductible. However, changes in our product and payer mix might cause these historical seasonal patterns to be different than future patterns of revenue or financial performance.</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information regarding our customer concentration in relation to certain of the Company’s third-party payors, see Note 2, “Summary of Significant Accounting Policies” in the Notes to our Unaudited Condensed Consolidated Financial Statements included in Part I, Item 1 of our Quarterly Report on Form 10-Q for the quarter ended September 30, 2022, which is incorporated by reference in this prospectus supplement and the accompanying prospectus. We expect incrementally less concentration among third-party payors following the exits from reproductive health and somatic tumor testing. There are no single customers representing greater than 10% of our revenues or accounts receivable.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a limited number of suppliers, including Illumina, Inc., Integrated DNA Technologies Incorporated, Agilent Technologies, Roche Holdings Ltd., QIAGEN, Inc. and Twist Biosciences, for certain laboratory reagents, as well as sequencers and other equipment and materials, which we use in our laboratory operations. Our operations could be interrupted if we encounter delays or difficulties in securing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operations, including sequencers and various associated reagents and enzymes. The use of equipment or materials provided by these replacement suppliers would require us to alter our operations. Transitioning to a new supplier would be time consuming and expensive, may result in interruptions in operations, could affect the performance specifications of our laboratory operations or could require that we revalidate our tests. We cannot be certain that we will be able to secure alternative equipment, reagents and other materials, or bring such equipment, reagents and materials on line and revalidate them without experiencing interruptions in our workflow. If we encounter delays or difficulties in securing, reconfiguring or revalidating equipment and materials, our business and reputation could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trade secrets, copyrights, trademarks, customary contractual protections to protect our core technology and intellectual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as of January 23, 2023, we have six pending non-provisional utility patent applications and one provisional patent application. The utility patent applications include a U.S. patent application related to a genome annotation software platform for annotating genomic intervals that are clinically relevant for analysis, a U.S. patent application related to a genetic carrier screening process,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 The claim scope of any potentially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stemming from the present applications may be narrowed from initial filings due to any amendments that may arise throughout their prosecution.</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presently have any patents or patent applications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rely on trade secrets, including unpatented know-how, technology and other proprietary information, to maintain and develop our competitive position. We have a trade secrecy program to prevent disclosure of our trade secrets to others, except under stringent conditions of confidentiality when disclosure is critical to our business. We attempt to protect trade secrets and know-how by establishing confidentiality agreements and invention assignment agreements with our employees, consultants, scientific advisors, contractors, and collaborators.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valuable trade secrets relate to proprietary bioinformatic tools such as:</w:t>
      </w:r>
    </w:p>
    <w:p>
      <w:pPr>
        <w:spacing w:after="0" w:line="171" w:lineRule="exact"/>
        <w:rPr>
          <w:sz w:val="20"/>
          <w:szCs w:val="20"/>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data processing methods and analytical pipelines for NGS, aCGH, MLPA, Sanger, and other genomic data, optimized and validated to the highest performance standards;</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novel detection method to uncover notoriously difficult to detect sequence variants called mobile element insertions and partial-exon deletions;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variant analysis platforms built from the ground up for exome and genome-scale data interpretation.</w:t>
      </w:r>
    </w:p>
    <w:p>
      <w:pPr>
        <w:spacing w:after="0" w:line="17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Although we take steps to protect our proprietary information and trade secrets, including through contractual means with our employees and consultants, these steps may be circumvented or third parties may independently develop substantially equivalent proprietary information and techniques or otherwise gain access to our trade secrets or disclose our technology. Accordingly, we may not be able to meaningfully protect our trade secrets.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own or are applying for various trademarks, service marks, trade names, and product service names in the U.S and other commercially important markets. We intend to invest significant resources in the growth and protection of our reputation and trademarks.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mission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and will continue to attract and retain a team that recognizes top talent, values diverse experiences and demographics, shares an appreciation for servant-based leadership and, enables the ability for all individuals to make a difference for patients and our organization. We are building a team obsessed with the belief that GeneDx will change the world - advancing our mission to bring broad access and utility of genomics to every day medicine to help patients across the globe. We had approximately 1,100 employees as of January 20, 2023, of which approximately 66% are women and 33% men.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200"/>
          </w:cols>
          <w:pgMar w:left="320" w:top="1440" w:right="379" w:bottom="1440" w:gutter="0" w:footer="0" w:header="0"/>
        </w:sectPr>
      </w:pPr>
    </w:p>
    <w:bookmarkStart w:id="44" w:name="page45"/>
    <w:bookmarkEnd w:id="4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 engagement and culture</w:t>
      </w:r>
    </w:p>
    <w:p>
      <w:pPr>
        <w:spacing w:after="0" w:line="17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have established a Justice, Equity, Diversity and Inclusion, or JEDI roadmap, designed to engage, develop and retain talent from diverse backgrounds by providing education and support. We are committed to an environment of inclusiveness internally and a pursuit to close gaps in health disparities.</w:t>
      </w:r>
    </w:p>
    <w:p>
      <w:pPr>
        <w:spacing w:after="0" w:line="86"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We are committed to maintaining and improving the health and safety of our employees at our Connecticut headquarters and our recently renovated laboratory and office space in Maryland, as well providing support for our teammates working remotely across and outside of the United States.</w:t>
      </w:r>
    </w:p>
    <w:p>
      <w:pPr>
        <w:spacing w:after="0" w:line="8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We empower our employees to own their career path and seek out training programs to take them to the next level. We are currently in the process of developing a structure of growth opportunities and ways to understand and communicate pathways and are investing in our training and development programs and infrastructure for our employees.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organized and measure progress around shared company-wide objectives and key results to enable prioritization, crisper decision-making and data-driven evaluation of our progress. Team level objectives and key results tied to our company goals allow us each to see how our individual contributions add to the overall success of the Company and ensure that we are collectively all pulling in one direction and measuring our progress beyond simply revenue or volume.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Properties for our core operations include our corporate office and headquarters located at 333 Ludlow Street, Stamford, Connecticut 06902, our primary operating laboratory located at 207 Perry Parkway, Gaithersburg, Maryland 20877, and a satellite meeting space located at 200 Park Avenue South, New York, NY 10002; each are leased spaces. Our laboratory in Stamford, CT will fully cease operations in March 2023 and our laboratory in Branford, CT has already ceased operations as part of the Company’s recently announced exits from reproductive health and somatic tumor testing. These facilities are actively being marketed for sublet; however, the outstanding lease obligations remain obligations of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and the services we provide are subject to and impacted by extensive and frequently changing laws and regulations in the United States (at both the federal and state levels) and internationally. Failure to comply with the applicable laws and regulations can subject us to repayment of amounts previously paid to us, significant civil and criminal penalties, loss of licensure, certification, or accreditation, or exclusion from state and federal health care programs. The significant areas of regulation are summarized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Laboratory Improvement Amendments of 1988 and State Regulation</w:t>
      </w:r>
    </w:p>
    <w:p>
      <w:pPr>
        <w:spacing w:after="0" w:line="17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Our clinical laboratories must hold certain federal, state and local licenses, certifications and permits to conduct our business. Laboratories in the United States that perform testing on human specimens for the purpose of providing information for the diagnosis, prevention, or treatment of disease or impairment, or the assessment of health are subject to the Clinical Laboratory Improvement Amendments of 1988, as amended, and its implementing regulations (“CLIA”). CLIA requires such laboratories to be certified by the federal government and mandates compliance with various operational, personnel, facilities administration, inspections, quality control, quality assessment and proficiency testing requirements intended to ensure that testing services are accurate, reliable and timely. CLIA certification also is a prerequisite to be eligible to bill state and federal health care programs, as well as many commercial third-party payers, for laboratory testing services. Our laboratory located in Gaithersburg, Maryland is CLIA certified to perform high complexity tests. Our laboratory located in Stamford, Connecticut is also CLIA certified to perform high complexity tests. Laboratories performing high complexity testing are required to meet more stringent requirements than laboratories performing less complex tests. The regulatory and compliance standards applicable to the testing we perform may change over time, and any such changes could have a material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220"/>
          </w:cols>
          <w:pgMar w:left="320" w:top="1440" w:right="359" w:bottom="1440" w:gutter="0" w:footer="0" w:header="0"/>
        </w:sectPr>
      </w:pPr>
    </w:p>
    <w:bookmarkStart w:id="45" w:name="page46"/>
    <w:bookmarkEnd w:id="45"/>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condition of CLIA certification, our laboratory is subject to survey and inspection every two years to assess compliance with program standards, in addition to being subject to additional random inspections. The biennial survey is conducted by the Centers for Medicare &amp; Medicaid Services (“CMS”), a CMS agent (typically a state agency), or, a CMS-approved accreditation organization. Our Gaithersburg and Stamford laboratories have been accredited by the College of American Pathologists (“CAP”), which means that our laboratories have been certified as following CAP guidelines in operating the laboratory and in performing tests that ensure the quality of our results. Because our laboratories are accredited by CAP, which is a CMS-approved accreditation organization, CMS does not perform these biennial surveys and inspections and relies on our CAP surveys and inspections. We may also be subject to additional unannounced inspections.</w:t>
      </w:r>
    </w:p>
    <w:p>
      <w:pPr>
        <w:spacing w:after="0" w:line="13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CLIA provides that a state may adopt laboratory regulations that are not inconsistent with those under federal law, and a number of states have implemented their own (sometimes more stringent) laboratory regulatory requirements. CLIA does not preempt state laws that have established laboratory quality standards that are at least as stringent as the federal law requirements under CLIA. State laws may require that nonresident laboratories, or out-of-state laboratories, maintain a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We maintain state laboratory licenses for our Gaithersburg and Stamford facilities in Maryland, New York, California, Pennsylvania and Rhode Island; our Stamford laboratory also maintains a Connecticut clinical laboratory permit. In addition to having laboratory licenses in New York, our laboratories are also required to obtain approval on a test-specific basis for the tests they run as laboratory developed tests (“LDTs”) by the New York Department of Health before specific testing is performed on samples from New York. If any states currently have or adopt similar licensure requirements in the future, we may be required to modify, delay or stop our operations in those states.</w:t>
      </w:r>
    </w:p>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a laboratory is out of compliance with state laws or regulations governing licensed laboratories or with CLIA, penalties may include suspension, limitation or revocation of the license or CLIA certificate, assessment of civil monetary penalties or fines, civil injunctive suit or criminal penalties. Failure to comply with CLIA could also result in a directed plan of correction and state on-site monitoring. Loss of a laboratory’s CLIA certificate or state license may also result in the inability to receive payments from state and federal health care programs as well as private third-party payers. We believe that we are in material compliance with CLIA and all applicable licensing laws and regulations.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CLIA and state laws and regulations, operating together, sometimes limit the ability of laboratories to offer consumer-initiated testing (also known as “direct access testing”). CLIA certified laboratories are permitted to perform testing only upon the order of an “authorized person,” defined as an individual authorized under state law to order tests or receive test results, or both. Many states do not permit persons other than licensed healthcare providers to order tests. We currently do not offer direct access testing and our CLIA tests may only be ordered by authorized healthcare providers.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 Products and FDA Oversight of Laboratory Developed Tests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provide our tests as LDTs. Under FDA’s regulatory framework, in vitro diagnostic devices (IVDs) are a type of medical device, including tests that can be used in the diagnosis or detection of diseases, such as cancer, or other conditions. FDA considers LDTs to be a subset of IVDs that are intended for clinical use and are designed, manufactured, and used within a single laboratory that is certified under CLIA. Such LDT testing is primarily under the purview of CMS and state agencies that provide oversight over clinical laboratory operations. Although the FDA has taken the position that it has statutory authority to assure that medical devices, including certain LDTs, are safe and effective for their intended use, FDA has historically exercised enforcement discretion with respect to most LDTs and has not required laboratories that furnish LDTs to comply with the agency’s requirements for medical devices (e.g., establishment registration, device listing, premarket clearance or approval, quality systems regulations, and post-market controls). In recent years, FDA has stated it intends to end its policy of general enforcement discretion and regulate certain LDTs as medical devices. For example, in 2014, the FDA issued two draft guidance documents that set forth a proposed risk-based regulatory framework that would apply varying levels of FDA oversight to LDTs. These documents have not been finalized to date. Subsequently, in August 2020, the U.S. Department of Health and Human Services – the parent agency for FDA – announced that FDA will not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premarket review of LDTs absent notice-and-comment rulemaking, as opposed to through guidance documents and other informal issuances. In November 2021, the Biden Administration rescinded this policy. At this time, it is unclear when, or if, the FDA will finalize its plans to end enforcement discretion, and even then, the new regulatory requirements are expected to be phased-in over time. Nevertheless, the FDA may decide to regulate certain LDTs on a case-by-case basis at any time. Legislative proposals addressing the FDA’s oversight of LDTs have also been introduced in previous Congresses, and we expect that new legislative proposals will be introduced from time to time. For example, versions of the Verifying Accurate Leading-edge IVCT Development (“VALID”) Act have been introduced in Congress several times in recent years, but the VALID Act has not been enacted. The VALID Act, as most recently proposed, would create a new category of medical products separate from medical devices called “in vitro clinical tests,” or IVCTs. As most recently proposed, the VALID Act would modify the Federal Food, Drug, and Cosmetic Act (“FDCA”) and establish a risk-based approach to imposing requirements related to premarket review, quality systems, and labeling requirements on all IVCTs, including LDTs, but a grandfathering provision would create exemptions from certain requirements for certain LDTs offered for clinical use within 45 days of enactment of the bill. The likelihood that Congress will pass such legislation in the future and the extent to which such legislation may affect the FDA’s plans to regulate certain LDTs as medical devices is difficult to predict at this time. 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be sure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oversight to our tests could materially and adversely affect our business, financial condition, and results of operations.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will continue to monitor changes to all LDT regulatory policy so as to ensure compliance with the current regulatory scheme. The FDA in the course of enforcing the FDCA may subject a company to various sanctions for violating FDA regulations or provisions of the FDCA, including requiring recalls, issuing Warning Letters, seeking to impose civil money penalties, seizing devices that the agency believes are non-compliant, seeking to enjoin distribution of a specific device, seeking to revoke a clearance or approval, seeking disgorgement of profits and/or seeking to criminally prosecute a company and its officers and other responsible parties.</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Additionally, certain of our diagnostic products in development may be subject to regulation by the FDA and similar international health authorities. For these products, we would have an obligation to adhere to the FDA’s current Good Manufacturing Practices (“cGMP”) and diagnostic product regulations, including providing for an establishment and product listing with the FDA. Additionally, we would be subject to periodic FDA inspections, quality control procedures, and other detailed validation procedures. If the FDA finds deficiencies in the validation of our manufacturing and quality control practices, it may impose restrictions on marketing specific products until corrected. Regulation by governmental authorities in the U.S. and other countries may be a significant factor in how we develop, test, produce and market our diagnostic test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Companion Diagnostics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certain of our tests, we may pursue development as in vitro companion diagnostics for use in selecting the patients that may respond to our partners’ pharmaceutical products. Companion diagnostics (including those offered as LDTs) are regulated by the FDA as medical devices. The FDA issued a final guidance document in August 2014 addressing agency policy in relation to in vitro companion diagnostic tests. The guidance explains that for some drugs and therapeutic biologics, the use of a companion diagnostic test is essential for the safe and effective use of the product, such as when the use of a product is limited to a specific patient subpopulation that can be identified by using the test. According to the guidance, the FDA generally requires the therapeutic product and the companion diagnostic to be developed and approved or cleared contemporaneously. In July 2016, the FDA issued a draft guidance intended to assist sponsors of the drug or biological and in vitro companion diagnostic device on issues related to co-development of the products, and in April 2020, the FDA issued final guidance describing considerations for the development and labeling of in vitro companion diagnostic devices to support the indicated uses of multiple drug or biological oncology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Numerous states prohibit business organizations from practicing medicine or employing or engaging physicians to practice medicine, which prohibitions are generally referred to as the prohibition against the corporate practice of medicine. These laws are intended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prohibitions may result in civil or criminal fines, as well as sanctions imposed against us and/or the professional through licensure proceedings.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related to the protection of the environment, the health and safety of employees and the handling, transportation and disposal of regulated medical waste, hazardous waste and biohazardous waste, including chemical, biological agents and compounds, blood and bone marrow samples and other human tissue, and radioactive materials. For example, the U.S. Occupational Safety and Health Administration (“OSHA”) has established extensive requirements relating specifically to workplace safety for healthcare employers in the U.S. For purposes of transportation, some biological materials and laboratory supplies are classified as hazardous materials and are subject to regulation by one or more of the following: the U.S. Department of Transportation, the U.S. Public Health Service, the United States Postal Service, the Office of Foreign Assets Control, and the International Air Transport Association. We generally use third-party vendors to dispose of regulated medical waste, hazardous waste and radioactive materials and contractually require them to comply with applicable laws and regulations. These vendors are licensed or otherwise qualified to handle and dispose of such wastes.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Healthcare Fraud &amp; Abuse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Physician Self-Referral Prohibitions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the federal physician self-referral prohibitions, commonly known as the Stark Law. These restrictions generally prohibit a physician who has (or whose immediate family member has) a financial relationship, such as an ownership or investment interest in or compensation arrangement with us, from making referrals for “designated health services”, including clinical laboratory services, if payment for the services may be made under Medicare. If such a financial relationship exists, referrals are prohibited unless a statutory or regulatory exception applies. The Stark Law also prohibits us from billing for any such prohibited referral. These prohibitions apply regardless of any intent by the parties to induce or reward referrals or the reasons for the financial relationship and the referral. Several Stark Law exceptions are relevant to many common financial relationships involving clinical laboratories and referring physicians and may be relied upon if all of the elements of the applicable exception are satisfied. Penalties for violating the Stark Law include the return of funds received for all prohibited referrals, fines, civil monetary penalties and possible exclusion from federal health care programs. In addition, violations of the Stark Law may also serve as the basis for liability under the federal False Claims Act (“FCA”), which can result in additional civil and criminal penalties. Several states have enacted comparable self-referral laws which may be broader in scope and apply regardless of payer.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Anti-Kickback Laws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federal Anti-Kickback Statute (“AKS”), makes it a felony for a person or entity, including a clinical laboratory, to, among other things, knowingly and willfully offer, pay, solicit or receive any remuneration, directly or indirectly, overtly or covertly, in cash or in kind, in order to induce or reward either the referral of an individual for, or the purchase, order or recommendation of, any good or service, for which payment may be made under federal health care programs.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AKS that apply to all payers or to state program payers. Penalties for violations of such laws include imprisonment and significant monetary fines and, in the case of the AKS, exclusion from federal health care programs.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conditions of an applicable exception or safe harbor, it is deemed not to violate the AKS. An arrangement must fully meet each condition of an applicable exception or safe harbor in order to qualify for protection. Failure to meet the conditions of a safe harbor, however, does not render an arrangement illegal. Rather, the government may evaluate such arrangements on a case-by-case basis, taking into account all facts and circumstances.</w:t>
      </w:r>
    </w:p>
    <w:p>
      <w:pPr>
        <w:spacing w:after="0" w:line="13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the federal Eliminating Kickbacks in Recovery Act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and certain other entities or in exchange for an individual using the services of such entities. The EKRA applies to all payers including commercial payers and government payers, and EKRA violations result in significant fines and/or up to 10 years in jail, separate and apart from existing AKS liability. Several EKRA exceptions are relevant to many common financial relationships involving clinical laboratories and may be relied upon if all of the elements of the applicable exception are satisfied. Failure to meet the requirements of an exception, however, does not render an arrangement illegal. Rather, the government may evaluate such arrangements on a case-by-case basis, taking into account all facts and circumstances.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Federal and State Fraud &amp; Abuse Healthcare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17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Under the FCA, a person acts knowingly if he or she has actual knowledge of the information or acts in deliberate ignorance or in reckless disregard of the truth or falsity of the information. Specific intent to defraud is not required. FCA violations can result in penalties of up to three times the actual damages sustained by the government, plus civil penalties for each false claim.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Several states have enacted comparable false claims laws which may be broader in scope and apply regardless of payer.</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Several states have enacted comparable laws which may be broader in scope and apply regardless of payer.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law. Moreover, in certain cases, providers who routinely waive copayments and deductibles for Medicare and Medicaid beneficiaries, can also be held liable under the civil monetary penalty provisions and certain other laws, such as the AKS and FCA. One of the statutory exceptions to the civil monetary penalty prohibition is non-routine, unadvertised waivers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copayments or deductible amounts based on individualized determinations of financial need or exhaustion of reasonable collection efforts. The Office of Inspector General of the U.S. Department of Health and Human Services (“HHS”), emphasizes, however, that this exception should only be used occasionally to address special financial needs of a particular patient. States may have similar prohibitions.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Federal and State Healthcare Laws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fraud and abuse laws discussed above, our business potentially is subject to the following additional healthcare regulatory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Laws Governing Genetic Counseling Services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genetic counseling partner may provide services via electronic means that could subject it to various federal, state and local certification and licensing laws, regulations and approvals,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physician providing telehealth to be physically located in the same state as the patient. Any failure to comply with these laws and regulations could result in civil or criminal penalties against telehealth providers.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and Human Subjects Research Regulations</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may collaborate or support ongoing clinical or other human subjects research that could subject us to a number of laws and regulations pertaining to such research, including but not limited to the Federal Policy for Protection of Human Subjects (as set forth in the implementing regulations of any signatory federal department or agency), the FDCA and its applicable implementing regulations at 21 C.F.R. Parts 11, 50, 54, 56, 58 and 812 and all equivalent legal requirements in other jurisdictions.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Insurance Portability and Accountability Act</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Health Insurance Portability and Accountability Act of 1996 (“HIPAA”), as amended by the Health Information Technology for Economic and Clinical Health Act (“HITECH”), HHS has issued regulations to protect the privacy and provide for the security of protected health information (“PHI”) used or disclosed by covered entities, including most health care providers and their respective business associates, as well as the business associates’ subcontractors. HIPAA also regulates standardization of data content, codes, and formats used in certain health care transactions and standardization of identifiers for health plans and providers. Four principal regulations with which we are required to comply have been issued in final form under HIPAA and HITECH: privacy regulations, security regulations, breach notification regulations, and standards for electronic transactions, which establish standards for common healthcare transactions.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privacy regulations cover the use and disclosure of PHI by covered entities as well as business associates, which are persons or entities that perform certain functions for or on behalf of a covered entity that involve the creation, receipt, maintenance, or transmission of PHI. Business associates are defined to include a subcontractor to whom a business associate delegates a function, activity, or service, other than in the capacity of the business associate’s workforce. As a general rule, a covered entity or business associate may not use or disclose PHI except as permitted or required under the privacy regulations. The privacy regulations also set forth certain rights that an individual has with respect to his or her PHI maintained by a covered entity or business associate, including the right to access or amend certain records containing his or her PHI, request restrictions on the use or disclosure of his or her PHI, or request an accounting of disclosures of his or her PHI.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Covered entities and business associates also must comply with the security regulations, which establish requirements for safeguarding the confidentiality, integrity, and availability of PHI that is electronically transmitted or electronically stored. In addition, HITECH, among other things, established certain PHI breach notification requirements with which covered entities and business associates must comply. In particular, a covered entity must notify any individual whose unsecured PHI is breached according to the specifications set forth in the breach notification rule. A covered entity must also notify the Secretary of HHS and, under certain circumstances, the media of a breach of unsecured PHI.</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In addition, individuals (or their personal representatives, as applicable) generally have the right to access test reports directly from laboratories and to direct that copies of those reports be transmitted to persons or entities designated by the individual.</w:t>
      </w:r>
    </w:p>
    <w:p>
      <w:pPr>
        <w:spacing w:after="0" w:line="1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violations of HIPAA could result in significant penalties imposed by the HHS’s Office for Civil Rights. HIPAA also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there are a number of state laws regarding the privacy and security of health information and personal data that are applicable to our clinical laboratories. We believe that we have taken the steps required of us to comply with health information privacy and security statutes and regulations in all jurisdictions, both state and federal, and we intend to continue to comprehensively protect all personal information and to comply with all applicable laws regarding the protection of such information. However, these laws constantly change, and we may not be able to maintain compliance in all jurisdictions where we do business. Failure to maintain compliance, or changes in state or federal laws regarding privacy or security, could result in civil and/or criminal penalties as well as significant reputational damage and could also have a material adverse effect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Consumer Privacy Act</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California Consumer Privacy Act, as amended by the California Privacy Rights Act (“CPRA,” and together with the California Consumer Privacy Act, the “CCPA”), confers to California consumers, among other things, the right to receive notice of the categories of personal information that will be collected by a business, how the business will use and share the personal information, and the categories of third parties who will receive the personal information. The CCPA also confers rights to access, delete, correct, or request a portable data set, the right to limit processing of “sensitive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allows California consumers to opt out of the “sharing” of information, which restricts a company’s use of personal information for cross-context behavioral advertising. The CCPA also requires a business to implement reasonable security procedures to safeguard personal information against unauthorized access, use, or disclosure and imposes purpose limitation, data minimization, data retention, and other security compliance obligations on regulated businesses. The CCPA requires businesses to include specific provisions in contracts with third parties that process data on a business’s behalf regarding the third party’s processing and management of such data.</w:t>
      </w:r>
    </w:p>
    <w:p>
      <w:pPr>
        <w:spacing w:after="0" w:line="13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CCPA does not apply to personal information that is PHI under HIPAA and that is collected by a business associate or covered entity under HIPAA. The CCPA also exempts patient information that is processed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covered entity and maintained in the same manner as PHI. Accordingly, the CCPA will not apply to much of the genetic testing and patient information we collect and process. However, we are required to comply with the CCPA insofar as we collect other categories of California consumers’ personal information, such as information about California-based employees, contractors, business contacts and website visitors.</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CCPA is enforceable through administrative fines of up to $2,500 for each violation or $7,500 for intentional violations or where we have actual knowledge that the personal information relates to an individual under 16 years of age.</w:t>
      </w:r>
    </w:p>
    <w:p>
      <w:pPr>
        <w:spacing w:after="0" w:line="10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Further, five new state privacy laws have gone or will go into effect in 2023, including the CPRA, the Virginia Consumer Data Protection Act, the Utah Consumer Privacy Act, the Colorado Privacy Act, and the Connecticut Data Privacy Act, and a number of other states are considering similar laws. The new state privacy laws and any potential federal law will and would impose additional data protection obligations on covered businesses, including additional consumer rights, limitations on data uses, new audit requirements for higher risk data, and opt outs for certain uses of sensitive data. The new and proposed privacy laws may result in further uncertainty and may require us to incur additional expenditures to comply. These regulations and legislative developments have potentially far-reaching consequences and may require us to modify our data management and data use practices and incur substantial compliance expense. Our failure to comply with applicable laws and regulations or other obligations to which we may be subject relating to personal data, or to protect personal data from unauthorized access, use, or other processing, could result in enforcement actions and regulatory investigations against us, claims for damages by customers and other affected individuals, fines, damage to our reputation, and loss of goodwill, any of which could have a material adverse effect on our operations, financial performance, and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Genetic Privacy and Testing Laws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 to myriad laws designed to establish safeguards regarding the conduct of genomic testing and analysis and to protect against the misuse of genetic information and human biological specimens (“samples”) from which genetic information can be derived. These laws vary in their scope and in the nature of their requirements and restrictions. For example, certain genetic privacy laws prohibit the retention of samples after performing a genomic analysis and prohibit the use or disclosure of genetic information or samples for certain purposes, such as research, without appropriate informed consent from the individual or unless the genetic information or samples are appropriately de-identified. Other laws may impose additional requirements, including requirements regarding institutional review board review and approval for certain research uses of genetic information or samples or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Data Protection Laws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are a growing number of jurisdictions around the globe that have privacy and data protection laws that may apply to us as we enter or expand our business in jurisdictions outside of the United States. These laws are typically triggered by a company’s establishment or physical location in the jurisdiction, data processing activities that take place in the jurisdiction, and/or the processing of personal information about individuals located in that jurisdiction that are targeted, for example, by an offer of goods or services. Certain data protection laws, such as those in the European Union (“EU”) and United Kingdom, are comprehensive in nature and include significant requirements around the processing of personal information, while other jurisdictions may have laws less restrictive or prescriptive than those in the U.S. Enforcement of these laws varies from jurisdiction to jurisdiction, with a variety of consequences, including civil or criminal penalties, litigation, private rights of action, or damage to our reputation.</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example, the EU’s General Data Protection Regulation (“GDPR”) including as implemented and amended through the UK Data Protection Act 2018 and implementing laws and regulations (“UK GDPR”) applies to any data collection, use and sharing in the context of an establishment the EU or UK as well as extraterritorially to any entity outside the EU and UK when they process personal information related to an offer of goods or services to, or monitoring the behavior of, individuals who are located in the EU or UK. The GDPR and UK GDPR impose strict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4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requirements on controllers and processors of personal data, including enhanced protections for “special categories” of personal data, which include sensitive information such as health and genetic information of data subjects. The GDPR and UK GDPR also grant individuals various rights in relation to their personal data, including the rights of access, rectification, objection to certain processing, and deletion. The GDPR and UK GDPR provide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or a failure to comply with the UK GDPR, may result in significant administrative fines issued by EU or UK regulators.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Blocking Prohibition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1, 2020, the Office of the National Coordinator for Health Information Technology promulgated final regulations under the authority of the 21st Century Cures Act to impose new conditions to obtain and maintain certification of certified health information technology and prohibit certain covered actors, including developers of certified health information technology, health information networks/health information exchanges, and health care providers, from engaging in activities that are likely to interfere with the access, exchange, or use of electronic health information (information blocking). The final regulations further defined exceptions for activities that are permissible, even though they may have the effect of interfering with the access, exchange, or use of electronic health information. The information blocking regulations became effective on April 5, 2021. Under the 21st Century Cures Act, health care providers that violate the information blocking prohibition will be subject to appropriate disincentives, which the HHS has yet to establish through required rulemaking. Developers of certified information technology and health information networks/health information exchanges, however, may be subject to civil monetary penalties of up to $1 million per violation. The HHS Office of Inspector General has the authority to impose such penalties and on April 24, 2020 published a proposed rule to codify new authority in regulation, which the agency proposed would be effective 60 days after it issues a final rule but in no event before November 2, 2020. The HHS Office of Inspector General has not yet issued a final rule.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Consumer Protection Laws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Federal Trade Commission (“FTC”), is an independent U.S. law enforcement agency charged with protecting consumers and enhancing competition across broad sectors of the economy. The FTC’s primary legal authority with respect to data privacy and security comes from Section 5 of the FTC Act, which prohibits unfair or deceptive acts or practices in the marketplace. The FTC has increasingly used this broad authority to police data privacy and security, using its powers to investigate and bring lawsuits. Where appropriate, the FTC can seek a variety of remedies, such as but not limited to requiring the implementation of comprehensive privacy and security programs, biennial assessments by independent experts, monetary redress to consumers, and provision of robust notice and choice mechanisms to consumers. In addition to its enforcement mechanisms, the FTC uses a variety of tools to protect consumers’ privacy and personal information, including pursuing enforcement actions to stop violations of law, conducting studies and issuing reports, hosting public workshops, developing educational materials, and testifying before the U.S. Congress on issues that affect consumer privacy. Recently, the FTC has issued guidance emphasizing that their authority to prevent unfair or deceptive acts or practices extends to advertising and marketing claims for health care and health-related products.</w:t>
      </w:r>
    </w:p>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majority of data privacy cases brought by the FTC fall under the “deceptive” acts prong of Section 5. These cases often involve a failure on the part of a company to adhere to its own privacy and data protection principles set forth in its policies or other statements made to consumers. To avoid Section 5 violations, the FTC encourages companies to build privacy protections and safeguards into relevant portions of their business, and to consider privacy and data protection as the company grows and evolves. In addition, privacy notices should clearly and accurately disclose the type(s) of personal information the company collects, how the company uses and shares that information, and the security measures used by the company to protect that information.</w:t>
      </w:r>
    </w:p>
    <w:p>
      <w:pPr>
        <w:spacing w:after="0" w:line="1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recent years, the FTC’s enforcement under Section 5 related to data security has included alleged violations of the “unfairness” prong. Many of these cases have alleged that companies were unfair to consumers because they failed to take reasonable and necessary measures to protect consumer data. The FTC has not provided bright line rules defining what constitutes “reasonable and necessary measures” for implementing a cybersecurity program,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it has provided guidance, tips and advice for companies. The FTC has also published past complaints and consent orders, which it urges companies use as guidance to help avoid an FTC enforcement action, even if a data breach or loss occurs.</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to the FTC Act, most U.S. states have unfair and deceptive acts and practices statutes, known as UDAP statutes, that substantially mirror the FTC Act and have been applied in the privacy and data security context. These vary in substance and strength from state to state. Many have broad prohibitions against unfair and deceptive acts and practices. These statutes generally allow for private rights of action and are enforced by the states’ Attorneys General.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and Billing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April 2014, Congress passed the Protecting Access to Medicare Act of 2014 (“PAMA”), which included substantial changes to the way in which clinical laboratory services are paid under Medicare. Under PAMA (as amended) and its implementing regulations, laboratories that realize at least $12,500 in Medicare Clinical Laboratory Fee Schedule (“CLFS”) revenues during the six month reporting period and that receive the majority of their Medicare revenue from payments made under the CLFS or the Physician Fee Schedule must report, beginning in 2017, and then in 2024 and every three years thereafter (or annually for “advanced diagnostic laboratory tests”), private payer payment rates and volumes for their tests. None of our tests meet the current definition of advanced diagnostic laboratory tests, and therefore we believe we are required to report private payer rates for our tests on an every three years basis starting next in 2024. CMS uses the rates and volumes reported by laboratories to develop Medicare payment rates for the tests equal to the volume-weighted median of the private payer payment rates for the tests. Laboratories that fail to report the required payment information may be subject to substantial civil money penalties.</w:t>
      </w:r>
    </w:p>
    <w:p>
      <w:pPr>
        <w:spacing w:after="0" w:line="1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set forth under the regulations implementing PAMA, for tests furnished on or after January 1, 2018, Medicare payments for clinical diagnostic laboratory tests are paid based upon these reported private payer rates. For clinical diagnostic laboratory tests that are assigned a new or substantially revised code, initial payment rates for clinical diagnostic laboratory tests that are not advanced diagnostic laboratory tests will be assigned by the cross-walk or gap-fill methodology, as under prior law. Initial payment rates for new advanced diagnostic laboratory tests will be based on the actual list charge for the laboratory test.</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payment rates calculated under PAMA went into effect starting January 1, 2018. Where applicable, reductions to payment rates resulting from the new methodology were limited to 10% per test per year in each of the years 2018 through 2020. Rates were held at 2020 levels during 2021 and 2022 and will continue to be held at such levels in 2023. Then, where applicable based upon median private payer rates reported in 2017 or 2024, reduced by up to 15% per test per year in each of 2024 through 2026 (with a second round of private payer rate reporting in 2024 to establish rates for 2025 through 2027).</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Medicare Administrative Contractors (“MACs”). These same contractors may also be designated to process claims if CMS determines that such a model is appropriate. It is unclear whether CMS will proceed with contractor consolidation under this authorization.</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PAMA also authorized the adoption of new, temporary billing codes and/or unique test identifiers for FDA-cleared or approved tests as well as advanced diagnostic laboratory tests. The American Medical Association has created a section of billing codes, Proprietary Laboratory Analyses (“PLA”), to facilitate implementation of this section of PAMA. These codes may apply to one or more of our tests if we apply for PLA coding.</w:t>
      </w:r>
    </w:p>
    <w:p>
      <w:pPr>
        <w:spacing w:after="0" w:line="12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Reimbursement and billing for diagnostic services is highly complex, and errors in billing potentially can result denied claims and/or in substantial obligations to repay overpayments to payors. Laboratories must bill various payers, such as private third-party payers, including managed care organizations (“MCO”), and state and federal health care programs, such as Medicare and Medicaid, and each may have different billing requirements. Additionally, the audit requirements we must meet to ensure compliance with applicable laws and regulations,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180"/>
          </w:cols>
          <w:pgMar w:left="320" w:top="1440" w:right="399" w:bottom="1440" w:gutter="0" w:footer="0" w:header="0"/>
        </w:sectPr>
      </w:pPr>
    </w:p>
    <w:bookmarkStart w:id="54" w:name="page55"/>
    <w:bookmarkEnd w:id="5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as our internal compliance policies and procedures, add further complexity to the billing process. Other factors that complicate billing include:</w:t>
      </w:r>
    </w:p>
    <w:p>
      <w:pPr>
        <w:spacing w:after="0" w:line="17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coverage and information requirements among various payers;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financial assistance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missing, incomplete or inaccurate billing information provided by ordering physicians;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billings to payers with whom we do not have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payers as to which party is responsible for payment;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payers as to the appropriate level of reimbursement.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the reimbursement arrangement and applicable law, the party that reimburses us for our services may be:</w:t>
      </w:r>
    </w:p>
    <w:p>
      <w:pPr>
        <w:spacing w:after="0" w:line="17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who provides coverage to the patient, such as an insurance company or MCO;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 or federal healthcare program;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described below, 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September 7, 2022, a shareholder class action lawsuit was filed in the United States District Court for the District of Connecticut against the Company and certain of our current and former officers. The complaint purports to bring suit on behalf of stockholders who purchased our publicly traded securities between March 14, 2022 and August 15, 2022. The complaint purports to allege that defendants made false and misleading statements about our business, operations and prospects in violation of Sections 10(b) and 20(a) of the Exchange Act, and seeks unspecified compensatory damages, fees and costs. We believe the allegations and claims made in the complaint are without merit.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180"/>
          </w:cols>
          <w:pgMar w:left="320" w:top="1440" w:right="399" w:bottom="1440" w:gutter="0" w:footer="0" w:header="0"/>
        </w:sectPr>
      </w:pPr>
    </w:p>
    <w:bookmarkStart w:id="55" w:name="page56"/>
    <w:bookmarkEnd w:id="55"/>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following discussion is a summary of the material U.S. federal income tax consequences to U.S. holders and non-U.S. holders (each as defined below) of the purchase, ownership, conversion and disposition, as applicable, of the shares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 regarding the tax consequences of the purchase, ownership, conversion and disposition, as applicable, of the shares of our Class A common stock .</w:t>
      </w:r>
    </w:p>
    <w:p>
      <w:pPr>
        <w:spacing w:after="0" w:line="11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This discussion is limited to holders that hold our Class A common stock as a “capital asset” within the meaning of Section 1221 of the Code (generally, property held for investment). This discussion does not address all U.S. federal income tax consequences relevant to a holder’s particular circumstances, including, without limitation, the impact of the Medicare contribution tax on net investment income and the alternative minimum tax. In addition, it does not address consequences relevant to holders subject to special rules, including, without limitation:</w:t>
      </w:r>
    </w:p>
    <w:p>
      <w:pPr>
        <w:spacing w:after="0" w:line="12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stock as part of a hedge, straddle or other risk reduction strategy or as part of a conversion transaction or other integrated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 regulated investment companies or real estate investment trusts;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or other persons that elect to use a mark-to-market method of accounting for their holdings in our stock;</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(as defined in Section 957 of the Code),” “passive foreign investment companies (as defined in Section 1297 of the Code),” and corporations that accumulate earnings to avoid U.S. federal income tax;</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in such entities);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stock under the constructive sale provisions of the Code;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stock pursuant to the exercise of any employee stock option or otherwise as compensation;</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stock being taken into account in an applicable financial statement (as defined in Section 451(b) of the Code);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or tax-qualified retirement plans;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1160"/>
          </w:cols>
          <w:pgMar w:left="320" w:top="1440" w:right="419" w:bottom="1440" w:gutter="0" w:footer="0" w:header="0"/>
        </w:sectPr>
      </w:pPr>
    </w:p>
    <w:bookmarkStart w:id="56" w:name="page57"/>
    <w:bookmarkEnd w:id="56"/>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2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a U.S. Holder and Non-U.S. Holder</w:t>
      </w:r>
    </w:p>
    <w:p>
      <w:pPr>
        <w:spacing w:after="0" w:line="17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any beneficial owner of our shares of Class A common stock (other than an entity treated as a partnership for U.S. federal income tax purposes) that, for U.S. federal income tax purposes, is or is treated as any of the following:</w:t>
      </w:r>
    </w:p>
    <w:p>
      <w:pPr>
        <w:spacing w:after="0" w:line="10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which has one or more “United States persons” (within the meaning of Section 7701(a)(30) of the Code) that have the authority to control all substantive decisions of the trust, or (2) has a valid election in effect to be treated as a United States person for U.S. federal income tax purposes.</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shares of our Class A common stock that is neither a “U.S. holder” nor an entity treated as a partnership for U.S. federal income tax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Applicable to 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jc w:val="both"/>
        <w:ind w:right="280"/>
        <w:spacing w:after="0" w:line="272" w:lineRule="auto"/>
        <w:rPr>
          <w:sz w:val="20"/>
          <w:szCs w:val="20"/>
          <w:color w:val="auto"/>
        </w:rPr>
      </w:pPr>
      <w:r>
        <w:rPr>
          <w:rFonts w:ascii="Times New Roman" w:cs="Times New Roman" w:eastAsia="Times New Roman" w:hAnsi="Times New Roman"/>
          <w:sz w:val="17"/>
          <w:szCs w:val="17"/>
          <w:color w:val="auto"/>
        </w:rPr>
        <w:t>As described in the section titled “Dividend Policy,” we do not anticipate declaring or paying dividends to holders of our Class A common stock in the foreseeable future. However, if we do make distributions of cash or property on our stock, such distributions will constitute dividends for U.S. federal income tax purposes to the extent paid from our current or accumulated earnings and profits, as determined under U.S. federal income tax principles.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Dividends paid to non-corporate U.S. holders generally will qualify for taxation at reduced rates if such U.S. holders meet certain holding period and other applicable requirements. Amounts not treated as dividends for U.S. federal income tax purposes will constitute a return of capital and first be applied against and reduce a U.S. holder’s adjusted tax basis in its stock, but not below zero. Any excess will be treated as capital gain and will be treated as described below under “—</w:t>
      </w:r>
      <w:r>
        <w:rPr>
          <w:rFonts w:ascii="Times New Roman" w:cs="Times New Roman" w:eastAsia="Times New Roman" w:hAnsi="Times New Roman"/>
          <w:sz w:val="18"/>
          <w:szCs w:val="18"/>
          <w:i w:val="1"/>
          <w:iCs w:val="1"/>
          <w:color w:val="auto"/>
        </w:rPr>
        <w:t>Sale or Other Taxable Disposition</w:t>
      </w:r>
      <w:r>
        <w:rPr>
          <w:rFonts w:ascii="Times New Roman" w:cs="Times New Roman" w:eastAsia="Times New Roman" w:hAnsi="Times New Roman"/>
          <w:sz w:val="18"/>
          <w:szCs w:val="18"/>
          <w:color w:val="auto"/>
        </w:rPr>
        <w:t>.” U.S. holders should consult their tax advisors regarding the application of reduced tax rates in their particular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U.S. holder will recognize capital gain or loss on a sale or other taxable disposition of our stock equal to the difference between the amount of cash and the fair market value of any property received upon the sale or other taxable disposition and the U.S. holder’s adjusted tax basis in the shares sold or disposed of. Such capital gain or loss will be long-term capital gain or loss if the U.S. holder’s holding period for the shares sold or exchanged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1140"/>
          </w:cols>
          <w:pgMar w:left="320" w:top="1440" w:right="439" w:bottom="1440" w:gutter="0" w:footer="0" w:header="0"/>
        </w:sectPr>
      </w:pPr>
    </w:p>
    <w:bookmarkStart w:id="57" w:name="page58"/>
    <w:bookmarkEnd w:id="57"/>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more than one year. Long-term capital gains recognized by certain non-corporate U.S. holders, including individuals, will be taxable at reduced rates. The deductibility of capital losses is subject to limitations.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Distributions with respect to our stock to a U.S. holder and proceeds from the sale or other taxable disposition of our stock by the U.S. holder generally are subject to information reporting to the IRS, unless the U.S. holder is an exempt recipient. Backup withholding may apply to such payments if a U.S. holder is not otherwise exempt and:</w:t>
      </w:r>
    </w:p>
    <w:p>
      <w:pPr>
        <w:spacing w:after="0" w:line="12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fails to furnish its taxpayer identification number (“TIN”), which for an individual, is ordinarily his or her social security number;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furnishes an incorrect TIN;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such holder has failed to properly report payments of dividends or interest; or</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fails to certify, under penalties of perjury, that such holder has furnished a correct TIN and that the IRS has not notified such holder that such holder is subject to backup withholding.</w:t>
      </w:r>
    </w:p>
    <w:p>
      <w:pPr>
        <w:spacing w:after="0" w:line="108"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Applicable to Non-U.S.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Any distributions of cash or property on our stock will constitute dividends for U.S. federal income tax purposes to the extent paid from our current and accumulated earnings and profits, as determined under U.S. federal income tax principles. Amounts not treated as dividends for U.S. federal income tax purposes will first constitute a return of capital and be applied against and reduce a non-U.S. Holder’s adjusted tax basis in its stock, but not below zero. Any excess will be treated as capital gain and will be treated as described below under “—Sale or Other Taxable Disposition.”</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backup withholding and FATCA (as defined below), dividends paid to a non-U.S. holder on our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S-56</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 non-U.S. holder will not be subject to U.S. federal income tax on any gain realized upon the sale or other taxable disposition of our stock unless:</w:t>
      </w:r>
    </w:p>
    <w:p>
      <w:pPr>
        <w:spacing w:after="0" w:line="108" w:lineRule="exact"/>
        <w:rPr>
          <w:sz w:val="20"/>
          <w:szCs w:val="20"/>
          <w:color w:val="auto"/>
        </w:rPr>
      </w:pPr>
    </w:p>
    <w:p>
      <w:pPr>
        <w:ind w:left="660" w:right="340" w:hanging="328"/>
        <w:spacing w:after="0" w:line="312" w:lineRule="auto"/>
        <w:tabs>
          <w:tab w:leader="none" w:pos="6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85" w:lineRule="exact"/>
        <w:rPr>
          <w:rFonts w:ascii="Times New Roman" w:cs="Times New Roman" w:eastAsia="Times New Roman" w:hAnsi="Times New Roman"/>
          <w:sz w:val="17"/>
          <w:szCs w:val="17"/>
          <w:color w:val="auto"/>
        </w:rPr>
      </w:pPr>
    </w:p>
    <w:p>
      <w:pPr>
        <w:ind w:left="660" w:right="2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constitutes a U.S. real property interest (“USRPI”) by reason of our status as a U.S. real property holding corporation (“USRPHC”) for U.S. federal income tax purposes.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35" w:lineRule="exact"/>
        <w:rPr>
          <w:sz w:val="20"/>
          <w:szCs w:val="20"/>
          <w:color w:val="auto"/>
        </w:rPr>
      </w:pPr>
    </w:p>
    <w:p>
      <w:pPr>
        <w:ind w:right="1240"/>
        <w:spacing w:after="0" w:line="438" w:lineRule="auto"/>
        <w:rPr>
          <w:sz w:val="20"/>
          <w:szCs w:val="20"/>
          <w:color w:val="auto"/>
        </w:rPr>
      </w:pPr>
      <w:r>
        <w:rPr>
          <w:rFonts w:ascii="Times New Roman" w:cs="Times New Roman" w:eastAsia="Times New Roman" w:hAnsi="Times New Roman"/>
          <w:sz w:val="18"/>
          <w:szCs w:val="18"/>
          <w:color w:val="auto"/>
        </w:rPr>
        <w:t xml:space="preserve">Non-U.S. holders should consult their tax advisors regarding potentially applicable income tax treaties that may provide for different rules. </w:t>
      </w:r>
      <w:r>
        <w:rPr>
          <w:rFonts w:ascii="Times New Roman" w:cs="Times New Roman" w:eastAsia="Times New Roman" w:hAnsi="Times New Roman"/>
          <w:sz w:val="18"/>
          <w:szCs w:val="18"/>
          <w:b w:val="1"/>
          <w:bCs w:val="1"/>
          <w:i w:val="1"/>
          <w:iCs w:val="1"/>
          <w:color w:val="auto"/>
        </w:rPr>
        <w:t>Information Reporting and Backup Withholding</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Payments of dividends on our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stock paid to the non-U.S. holder, regardless of whether such distributions constitute dividends or whether any tax was actually withheld. In addition, proceeds of the sale or other taxable disposition of our stock within the United States or conducted through certain U.S. 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stock conducted through a non-U.S. office of a non-U.S. broker generally will not be subject to backup withholding or information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S-57</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3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stock. The U.S. Department of Treasury has issued proposed Treasury Regulations providing that the withholding provisions under FATCA do not apply with respect to the gross proceeds from a sale or other disposition of our common stock. In its preamble to such proposed regulations, the U.S. Department of the Treasury stated that taxpayers generally may rely on these proposed Treasury Regulations until final Treasury Regulations are issued.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S-58</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January 26, 2022, between us and Jefferies LLC, as underwriter, we have agreed to sell to the underwriter, and the underwriter has agreed to purchase from us, the entire number of shares of Class A common stock offered by this prospectus supplement.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 are subject to certain conditions precedent such as the receipt by the underwriter of officers’ certificates and legal opinions and approval of certain legal matters by their counsel. The underwriting agreement provides that the underwriter will purchase all of the shares of Class A common stock if any of them are purchased. We have agreed to indemnify the underwriter and certain of its controlling persons against certain liabilities, including liabilities under the Securities Act, and to contribute to payments that the underwriter may be required to make in respect of those liabilities.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underwriter has advised us that, following the completion of this offering, its currently intends to make a market in the Class A common stock as permitted by applicable laws and regulations. However, the underwriter is not obligated to do so, and the underwriter may discontinue any market-making activities at any time without notice, in their sole discretion. Accordingly, no assurance can be given as to the liquidity of the trading market for the Class A common stock, your ability to sell any of the Class A common stock held by you at a particular time or that the prices that you receive when you sell will be favorable.</w:t>
      </w:r>
    </w:p>
    <w:p>
      <w:pPr>
        <w:spacing w:after="0" w:line="1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underwriter is offering the shares of Class A common stock subject to its acceptance of the shares of Class A common stock from us and subject to prior sale. The underwriter reserves the right to withdraw, cancel or modify offers to the public and to reject orders in whole or in part.</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closing of the concurrent registered direct offering is expected to occur subsequent to the closing of this offering. This offering is not contingent on the closing of the concurrent registered direct offering.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and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 has advised us that it proposes to offer the shares of Class A common stock to the public at the public offering price set forth on the cover</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page of this prospectus supplement and to certain dealers, which may include the underwriter, at a price less a concession not in excess of $ per share of Class A common stock. After the offering, the public offering price, concession and reallowance to dealers may be reduced by the underwriter. No such reduction will change the amount of proceeds to be received by us as set forth on the cover page of this prospectus supplement.</w:t>
      </w:r>
    </w:p>
    <w:p>
      <w:pPr>
        <w:spacing w:after="0" w:line="13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the underwriting discounts and commissions that we are to pay the underwriter and the proceeds to us, before expenses, in connection with this offering.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price</w:t>
            </w:r>
          </w:p>
        </w:tc>
        <w:tc>
          <w:tcPr>
            <w:tcW w:w="1560" w:type="dxa"/>
            <w:vAlign w:val="bottom"/>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560" w:type="dxa"/>
            <w:vAlign w:val="bottom"/>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estimate expenses payable by us in connection with this offering and the concurrent registered direct offering, other than the underwriting discounts and</w:t>
      </w:r>
    </w:p>
    <w:p>
      <w:pPr>
        <w:spacing w:after="0" w:line="3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commissions referred to above, will be approximately $ . We have also agreed to reimburse the underwriter for certain of its expenses in an amount not to exceed $ .</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trading symbol “WGS”.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agreed that, subject to certain exceptions, we will not (i) offer, sell, contract to sell, pledge, grant any option to purchase, make any short sale or otherwise transfer or dispose of, directly or indirectly, or file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S-59</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SEC a registration statement under the Securities Act relating to, any securities of the Company that are substantially similar to the Class A common stock, including but not limited to any options or warrants to purchase shares of Class A common stock or any securities that are convertible into or exchangeable for, or that represent the right to receive, Class A common stock or any such substantially similar securities, or publicly disclose the intention to make any offer, sale, pledge, disposition or filing or (ii) enter into any swap or other agreement that transfers, in whole or in part, any of the economic consequences of ownership of the Class A common stock or any such other securities, whether any such transaction described in clause (i) or (ii) above is to be settled by delivery of Class A common stock or such other securities, in cash or otherwise, in each case, without the prior written consent of Jefferies LLC for a period of 60 days after the date of this prospectus supplement.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us with respect to:</w:t>
      </w:r>
    </w:p>
    <w:p>
      <w:pPr>
        <w:spacing w:after="0" w:line="171"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to be sold pursuant to the underwriting agreement;</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sold pursuant to the concurrent registered direct offering;</w:t>
      </w:r>
    </w:p>
    <w:p>
      <w:pPr>
        <w:spacing w:after="0" w:line="171"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issued upon the exercise of options granted under our stock incentive plans as described elsewhere in this prospectus supplement;</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61" w:lineRule="auto"/>
        <w:tabs>
          <w:tab w:leader="none" w:pos="12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Class A common stock or any securities or other awards or rights (including without limitation options, restricted stock or restricted stock units) convertible into, exercisable or exchangeable for, or that represent the right to receive, shares of Class A common stock pursuant to any stock option plan, incentive plan or stock purchase plan of the Company or otherwise in equity compensation arrangements described elsewhere in this prospectus supplement;</w:t>
      </w:r>
    </w:p>
    <w:p>
      <w:pPr>
        <w:spacing w:after="0" w:line="125" w:lineRule="exact"/>
        <w:rPr>
          <w:rFonts w:ascii="Times New Roman" w:cs="Times New Roman" w:eastAsia="Times New Roman" w:hAnsi="Times New Roman"/>
          <w:sz w:val="18"/>
          <w:szCs w:val="18"/>
          <w:color w:val="auto"/>
        </w:rPr>
      </w:pPr>
    </w:p>
    <w:p>
      <w:pPr>
        <w:ind w:left="1300" w:right="300" w:hanging="644"/>
        <w:spacing w:after="0" w:line="258" w:lineRule="auto"/>
        <w:tabs>
          <w:tab w:leader="none" w:pos="12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Class A common stock issuable pursuant to (i) the Agreement and Plan of Merger, dated as of February 9, 2021, as amended, by and among CMLS, S-IV Sub, Inc. and Legacy Sema4 executed in connection with the Business Combination or (ii) the Agreement and Plan of Merger and Reorganization, dated as of January 14, 2022, as amended, by and among Sema4 Holdings Corp., Orion Merger Sub I, Inc., Orion Merger Sub II, LLC, GeneDx, Inc., OPKO Health, Inc., and GeneDx Holding 2, Inc. executed in connection with the Acquisition;</w:t>
      </w:r>
    </w:p>
    <w:p>
      <w:pPr>
        <w:spacing w:after="0" w:line="129"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Class A common stock issued upon the exercise or redemption of warrants or the conversion or redemption of Company securities as described elsewhere in this prospectus supplement;</w:t>
      </w:r>
    </w:p>
    <w:p>
      <w:pPr>
        <w:spacing w:after="0" w:line="107" w:lineRule="exact"/>
        <w:rPr>
          <w:rFonts w:ascii="Times New Roman" w:cs="Times New Roman" w:eastAsia="Times New Roman" w:hAnsi="Times New Roman"/>
          <w:sz w:val="18"/>
          <w:szCs w:val="18"/>
          <w:color w:val="auto"/>
        </w:rPr>
      </w:pPr>
    </w:p>
    <w:p>
      <w:pPr>
        <w:ind w:left="1300" w:right="560" w:hanging="644"/>
        <w:spacing w:after="0" w:line="266" w:lineRule="auto"/>
        <w:tabs>
          <w:tab w:leader="none" w:pos="12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the Company of any registration statement on Form S-8 or a successor form thereto relating to any stock option plan, incentive plan or stock purchase plan described elsewhere in this prospectus supplement or otherwise in equity compensation arrangements; and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1" w:lineRule="auto"/>
        <w:tabs>
          <w:tab w:leader="none" w:pos="12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 worth of shares of Class A common stock or any securities convertible into or exercisable or exchangeable for, or that represent the right to receive, shares of Class A common stock issued in connection with any joint venture, commercial or collaborative relationship or the acquisition or license by the Company of the securities, businesses, property or other assets of another person or entity or pursuant to any employee benefit plan assumed by the Company in connection with any such acquisition).</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officers and directors and certain of our shareholders have entered into lock-up agreements with the underwriter prior to the commencement of this offering pursuant to which each of these persons or entities, with limited exceptions, for a period of 60 days after the date of this prospectus (the “Lock-Up Period”), may not, without the prior written consent of Jefferies LLC (i) offer, sell, contract to sell, pledge, grant any option, right or warrant to purchase, purchase any option or contract to sell, lend or otherwise transfer or dispose of any shares of Class A common stock, or any options or warrants to purchase any shares of Class A common stock, or any securities convertible into, exchangeable for or that represent the right to receive shares of Class A common stock (such shares of Class A common stock, options, rights, warrants or other securities, collectively, “Lock-Up Securities”), including without limitation any such Lock-Up Securities now owned or hereafter acquired by the undersigned,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S-60</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4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(iii) make any demand for or exercise any right with respect to the registration of any Lock-Up Securities or (iv) otherwise publicly announce any intention to engage in or cause any action, activity, transaction or arrangement described in clause (i), (ii) or (iii)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with respect to:</w:t>
      </w:r>
    </w:p>
    <w:p>
      <w:pPr>
        <w:spacing w:after="0" w:line="171"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one or more bona fide gifts or charitable contributions, or for bona fide estate planning purposes;</w:t>
      </w:r>
    </w:p>
    <w:p>
      <w:pPr>
        <w:spacing w:after="0" w:line="17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by will, testamentary document or intestate succession;</w:t>
      </w:r>
    </w:p>
    <w:p>
      <w:pPr>
        <w:spacing w:after="0" w:line="171" w:lineRule="exact"/>
        <w:rPr>
          <w:rFonts w:ascii="Times New Roman" w:cs="Times New Roman" w:eastAsia="Times New Roman" w:hAnsi="Times New Roman"/>
          <w:sz w:val="18"/>
          <w:szCs w:val="18"/>
          <w:color w:val="auto"/>
        </w:rPr>
      </w:pPr>
    </w:p>
    <w:p>
      <w:pPr>
        <w:ind w:left="1960" w:right="600" w:hanging="656"/>
        <w:spacing w:after="0" w:line="282"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transferor is a natural person, to members of immediate family or to any trust for the direct or indirect benefit of an immediate family or to a trustor or beneficiary of a trust or the estate of a beneficiary of a trust;</w:t>
      </w:r>
    </w:p>
    <w:p>
      <w:pPr>
        <w:spacing w:after="0" w:line="107" w:lineRule="exact"/>
        <w:rPr>
          <w:rFonts w:ascii="Times New Roman" w:cs="Times New Roman" w:eastAsia="Times New Roman" w:hAnsi="Times New Roman"/>
          <w:sz w:val="18"/>
          <w:szCs w:val="18"/>
          <w:color w:val="auto"/>
        </w:rPr>
      </w:pPr>
    </w:p>
    <w:p>
      <w:pPr>
        <w:ind w:left="1960" w:right="260" w:hanging="656"/>
        <w:spacing w:after="0" w:line="282" w:lineRule="auto"/>
        <w:tabs>
          <w:tab w:leader="none" w:pos="199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partnership, limited liability company or other entity of which the transferor and the immediate family of such transferor are the legal and beneficial owner of all of the outstanding equity securities or similar interests;</w:t>
      </w:r>
    </w:p>
    <w:p>
      <w:pPr>
        <w:spacing w:after="0" w:line="107"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5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(iv) above;</w:t>
      </w:r>
    </w:p>
    <w:p>
      <w:pPr>
        <w:spacing w:after="0" w:line="107" w:lineRule="exact"/>
        <w:rPr>
          <w:rFonts w:ascii="Times New Roman" w:cs="Times New Roman" w:eastAsia="Times New Roman" w:hAnsi="Times New Roman"/>
          <w:sz w:val="18"/>
          <w:szCs w:val="18"/>
          <w:color w:val="auto"/>
        </w:rPr>
      </w:pPr>
    </w:p>
    <w:p>
      <w:pPr>
        <w:ind w:left="1960" w:hanging="656"/>
        <w:spacing w:after="0" w:line="258"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transferor is a corporation, partnership, limited liability company or other business entity, (a) to another corporation, partnership, limited liability company or other business entity that is an affiliate (as defined in Rule 405 under the Securities Act) of the transferor, or to any investment fund or other entity which fund or entity is controlled or managed by the transferor or affiliates of the transferor, or (b) as part of a distribution by the undersigned to its stockholders, partners, members or other equityholders or to the estate of any such stockholders, partners, members or other equityholders;</w:t>
      </w:r>
    </w:p>
    <w:p>
      <w:pPr>
        <w:spacing w:after="0" w:line="1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171" w:lineRule="exact"/>
        <w:rPr>
          <w:rFonts w:ascii="Times New Roman" w:cs="Times New Roman" w:eastAsia="Times New Roman" w:hAnsi="Times New Roman"/>
          <w:sz w:val="18"/>
          <w:szCs w:val="18"/>
          <w:color w:val="auto"/>
        </w:rPr>
      </w:pPr>
    </w:p>
    <w:p>
      <w:pPr>
        <w:ind w:left="1960" w:right="200" w:hanging="656"/>
        <w:spacing w:after="0" w:line="282" w:lineRule="auto"/>
        <w:tabs>
          <w:tab w:leader="none" w:pos="19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 employee;</w:t>
      </w:r>
    </w:p>
    <w:p>
      <w:pPr>
        <w:spacing w:after="0" w:line="107"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sale of the transferor’s Lock-Up Securities acquired (A) from the Underwriter in the offering contemplated by this prospectus supplement or (B) in open market transactions after the closing date of the offering contemplated by this prospectus supplement;</w:t>
      </w:r>
    </w:p>
    <w:p>
      <w:pPr>
        <w:spacing w:after="0" w:line="121" w:lineRule="exact"/>
        <w:rPr>
          <w:rFonts w:ascii="Times New Roman" w:cs="Times New Roman" w:eastAsia="Times New Roman" w:hAnsi="Times New Roman"/>
          <w:sz w:val="18"/>
          <w:szCs w:val="18"/>
          <w:color w:val="auto"/>
        </w:rPr>
      </w:pPr>
    </w:p>
    <w:p>
      <w:pPr>
        <w:ind w:left="1960" w:right="40" w:hanging="656"/>
        <w:spacing w:after="0" w:line="258" w:lineRule="auto"/>
        <w:tabs>
          <w:tab w:leader="none" w:pos="195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vesting, conversion, settlement, exchange or exercise of restricted stock units, options, warrants or other rights to purchase or receive shares of Class A common stock (including, in each case, a transfer to the Company by way of “net” or “cashless” exercise or a sale in the market to cover the payment of tax withholdings or remittance payments due in connection with such vesting, conversion, settlement, exchange or exercise), or in connection with the exercise or redemption of warrants or the conversion or redemption of convertible securities, in all such cases pursuant to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S-61</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ind w:left="1960" w:right="100"/>
        <w:spacing w:after="0" w:line="258" w:lineRule="auto"/>
        <w:rPr>
          <w:sz w:val="20"/>
          <w:szCs w:val="20"/>
          <w:color w:val="auto"/>
        </w:rPr>
      </w:pPr>
      <w:r>
        <w:rPr>
          <w:rFonts w:ascii="Times New Roman" w:cs="Times New Roman" w:eastAsia="Times New Roman" w:hAnsi="Times New Roman"/>
          <w:sz w:val="18"/>
          <w:szCs w:val="18"/>
          <w:color w:val="auto"/>
        </w:rPr>
        <w:t>awards or rights granted under a stock incentive plan, other equity award plan or stock purchase plan or inducement awards, or pursuant to the terms of warrants or convertible securities, each as described elsewhere in this prospectus supplement, provided that any Lock-Up Securities received upon such vesting, conversion, settlement, exchange, exercise or redemption, and after giving effect to such transfers to the Company or sale to cover transactions, shall be subject to the terms of the lock-up agreements;</w:t>
      </w:r>
    </w:p>
    <w:p>
      <w:pPr>
        <w:spacing w:after="0" w:line="129" w:lineRule="exact"/>
        <w:rPr>
          <w:sz w:val="20"/>
          <w:szCs w:val="20"/>
          <w:color w:val="auto"/>
        </w:rPr>
      </w:pPr>
    </w:p>
    <w:p>
      <w:pPr>
        <w:ind w:left="1960" w:right="180" w:hanging="656"/>
        <w:spacing w:after="0" w:line="261" w:lineRule="auto"/>
        <w:tabs>
          <w:tab w:leader="none" w:pos="19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written plan for trading securities that is designed to satisfy the requirements of Rule 10b5-1 under the Exchange Act (a “10b5-1 Plan”) in effect as of the date of this prospectus supplement and disclosed to the Jefferies, provided that any filing under Section 16 of the Exchange Act made in connection with such sales shall clearly indicate in the footnotes thereto that such disposition of Lock-Up Securities was pursuant to a 10b5-1 Plan;</w:t>
      </w:r>
    </w:p>
    <w:p>
      <w:pPr>
        <w:spacing w:after="0" w:line="1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Jefferies LLC;</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provided that (1) in the case of clauses (i), (ii), (iii), (iv), (v) and (vi) above, such transfer or distribution shall not involve a disposition for value, (2) in the case of clauses (i), (ii), (iii), (iv), (v), (vi) and (vii) above, it shall be a condition to the transfer or distribution that the donee, devisee, transferee or distributee, as the case may be, shall sign and deliver a lock up agreement, (3) in the case of clauses (i), (ii),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and (4) in the case of clauses (a)(vii),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(x) the circumstances of such transfer or distribution and (y) in the case of a transfer or distribution pursuant to clause (a)(vii) above, that the donee, devisee, transferee or distributee has agreed to be bound by a lock-up agreement;</w:t>
      </w:r>
    </w:p>
    <w:p>
      <w:pPr>
        <w:spacing w:after="0" w:line="140" w:lineRule="exact"/>
        <w:rPr>
          <w:sz w:val="20"/>
          <w:szCs w:val="20"/>
          <w:color w:val="auto"/>
        </w:rPr>
      </w:pPr>
    </w:p>
    <w:p>
      <w:pPr>
        <w:ind w:left="1300" w:right="300" w:hanging="644"/>
        <w:spacing w:after="0" w:line="266" w:lineRule="auto"/>
        <w:tabs>
          <w:tab w:leader="none" w:pos="12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shares of Class A common stock held by investment funds and accounts advised by the transferor, pledging and/or lending or hypothecating such shares pursuant to standard margin and pledge agreements entered into by such investment funds or accounts with its brokers in the ordinary course of their business;</w:t>
      </w:r>
    </w:p>
    <w:p>
      <w:pPr>
        <w:spacing w:after="0" w:line="121" w:lineRule="exact"/>
        <w:rPr>
          <w:rFonts w:ascii="Times New Roman" w:cs="Times New Roman" w:eastAsia="Times New Roman" w:hAnsi="Times New Roman"/>
          <w:sz w:val="18"/>
          <w:szCs w:val="18"/>
          <w:color w:val="auto"/>
        </w:rPr>
      </w:pPr>
    </w:p>
    <w:p>
      <w:pPr>
        <w:ind w:left="1300" w:hanging="644"/>
        <w:spacing w:after="0" w:line="258" w:lineRule="auto"/>
        <w:tabs>
          <w:tab w:leader="none" w:pos="12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10b5-1 Plan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required or shall be voluntarily made regarding the establishment of such plan during the Lock-Up Period; and</w:t>
      </w:r>
    </w:p>
    <w:p>
      <w:pPr>
        <w:spacing w:after="0" w:line="129" w:lineRule="exact"/>
        <w:rPr>
          <w:rFonts w:ascii="Times New Roman" w:cs="Times New Roman" w:eastAsia="Times New Roman" w:hAnsi="Times New Roman"/>
          <w:sz w:val="18"/>
          <w:szCs w:val="18"/>
          <w:color w:val="auto"/>
        </w:rPr>
      </w:pPr>
    </w:p>
    <w:p>
      <w:pPr>
        <w:ind w:left="1300" w:right="40" w:hanging="644"/>
        <w:spacing w:after="0" w:line="254" w:lineRule="auto"/>
        <w:tabs>
          <w:tab w:leader="none" w:pos="12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the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Lock-Up Securities shall remain subject to the provisions of the lock-up agreements.</w:t>
      </w:r>
    </w:p>
    <w:p>
      <w:pPr>
        <w:spacing w:after="0" w:line="1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Jefferies LLC may, in its sole discretion, and at any time or from time to time before the termination of the 60-day period, release all or any portion of the securities subject to lock-up agreements. There are no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S-62</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agreements providing consent to the sale of shares prior to the expiration of the lock-up period between the underwriter and any of our stockholders who will execute a lock-up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it, pursuant to Regulation M under the Securities Exchange Act of 1934, as amended, may engage in short sale transactions, stabilizing transactions, syndicate covering transactions or the imposition of penalty bids in connection with this offering. These activities may have the effect of stabilizing or maintaining the market price of the Class A common stock at a level above that which might otherwise prevail in the open market. Establishing short sales positions may involve either “covered” short sales or “naked” short sales.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“Covered” short sales are sales made in an amount not greater than the underwriters’ option to purchase additional shares of our Class A common stock in this offering. The underwriters may close out any covered short position by either exercising their option to purchase additional shares of Class A common stock or purchasing shares of our Class A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“Naked” short sales are sales in excess of the option to purchase additional shares of our Class A common stock. The underwriters must close out any naked short position by purchasing shares in the open market. A naked short position is more likely to be created if the underwriters are concerned that there may be downward pressure on the price of shares of our Class A common stock in the open market after pricing that could adversely affect investors who purchase in this offering.</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stabilizing bid is a bid for the purchase of shares of Class A common stock on behalf of the underwriter for the purpose of fixing or maintaining the price of the Class A common stock. A syndicate covering transaction is the bid for or the purchase of shares of Class A common stock on behalf of the underwriter to reduce a short position incurred by the underwriter in connection with the offering. Similar to other purchase transactions, the underwriter’s purchases to cover the syndicate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A penalty bid is an arrangement permitting the underwriter to reclaim the selling concession otherwise accruing to a syndicate member in connection with the offering if the Class A common stock originally sold by such syndicate member are purchased in a syndicate covering transaction and therefore have not been effectively placed by such syndicate member.</w:t>
      </w:r>
    </w:p>
    <w:p>
      <w:pPr>
        <w:spacing w:after="0" w:line="1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Neither we nor the underwriter make any representation or prediction as to the direction or magnitude of any effect that the transactions described above may have on the price of our Class A common stock. The underwriter is not obligated to engage in these activities and, if commenced, any of the activities may be discontinued at any time.</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underwriter may also engage in passive market making transactions in our Class A common stock on The NASDAQ Stock Market, LLC in accordance with Rule 103 of Regulation M during a period before the commencement of offers or sales of shares of our Class A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7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by e-mail or on the web sites or through online services maintained by the underwriter or its affiliates. In those cases, prospective investors may view offering terms online and may be allowed to place orders online. The underwriter may agree with us to allocate a specific number of shares of Class A common stock for sale to online brokerage account holders. Any such allocation for online distributions will be made by the underwriter on the same basis as other allocations. Other than the prospectus supplement in electronic format, the information on the underwriter’s web site and any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S-63</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contained in any other web site maintained by the underwriter is not part of this prospectus supplement, has not been approved and/or endorsed by us or the underwriter and should not be relied upon by investors.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7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1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 or its affiliates have a lending relationship with us, they routinely hedge their credit exposure to us consistent with their customary risk management policies. The underwriter and its affiliates may hedge such exposure by entering into transactions which consist of either the purchase of credit default swaps or the creation of short positions in our securities or the securities of our affiliates, including potentially the Class A common stock offered hereby. Any such short positions could adversely affect future trading prices of the Class A common stock offered hereby. The underwriter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Disclaimers About Non-U.S. Jurisdictions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prospectus supplement is not a disclosure document for the purposes of Australia’s Corporations Act 2001 (Cth) of Australia, or Corporations Act, is not lodged with the Australian Securities &amp; Investments Commission and is only directed to the categories of exempt persons set out below. Accordingly, if you receive this prospectus supplement in Australia: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confirm and warrant that you are either:</w:t>
      </w:r>
    </w:p>
    <w:p>
      <w:pPr>
        <w:spacing w:after="0" w:line="17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S-64</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 Resale Restrictions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distribution of shares of Class A common stock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shares of our Class A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Class A common stock.</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 Representations of Canadian Purchasers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By purchasing shares of our Class A common stock in Canada and accepting delivery of a purchase confirmation, a purchaser is representing to us and the dealer from whom the purchase confirmation is received that:</w:t>
      </w:r>
    </w:p>
    <w:p>
      <w:pPr>
        <w:spacing w:after="0" w:line="108" w:lineRule="exact"/>
        <w:rPr>
          <w:sz w:val="20"/>
          <w:szCs w:val="20"/>
          <w:color w:val="auto"/>
        </w:rPr>
      </w:pPr>
    </w:p>
    <w:p>
      <w:pPr>
        <w:ind w:left="660" w:right="200" w:hanging="328"/>
        <w:spacing w:after="0" w:line="266" w:lineRule="auto"/>
        <w:tabs>
          <w:tab w:leader="none" w:pos="65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the shares of our Class A common stock without the benefit of a prospectus qualified under those securities laws as it is an “accredited investor” as defined under National Instrument 45-106-Prospectus Exemptions or Section 73.3(1) of the Securities Act (Ontario), as applicable,</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31-103-Registration Requirements, Exemptions and Ongoing Registrant Obligations,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16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Conflicts of Interest</w:t>
      </w:r>
    </w:p>
    <w:p>
      <w:pPr>
        <w:spacing w:after="0" w:line="17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Canadian purchasers are hereby notified that the underwriter is relying on the exemption set out in section 3A.3 or 3A.4, if applicable, of National Instrument 33-105-Underwriting Conflicts from having to provide certain conflict of interest disclosure in this document.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Statutory Rights of Action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Enforcement of Legal Rights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Taxation and Eligibility for Investment</w:t>
      </w:r>
    </w:p>
    <w:p>
      <w:pPr>
        <w:spacing w:after="0" w:line="17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Canadian purchasers of shares of Class A common stock should consult their own legal and tax advisors with respect to the tax consequences of an investment in the shares of our Class A common stock in their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S-65</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40" w:lineRule="exact"/>
        <w:rPr>
          <w:sz w:val="20"/>
          <w:szCs w:val="20"/>
          <w:color w:val="auto"/>
        </w:rPr>
      </w:pPr>
    </w:p>
    <w:p>
      <w:pPr>
        <w:ind w:right="320"/>
        <w:spacing w:after="0" w:line="438" w:lineRule="auto"/>
        <w:rPr>
          <w:sz w:val="20"/>
          <w:szCs w:val="20"/>
          <w:color w:val="auto"/>
        </w:rPr>
      </w:pPr>
      <w:r>
        <w:rPr>
          <w:rFonts w:ascii="Times New Roman" w:cs="Times New Roman" w:eastAsia="Times New Roman" w:hAnsi="Times New Roman"/>
          <w:sz w:val="18"/>
          <w:szCs w:val="18"/>
          <w:color w:val="auto"/>
        </w:rPr>
        <w:t xml:space="preserve">circumstances and about the eligibility of the shares of our Class A common stock for investment by the purchaser under relevant Canadian legislation. </w:t>
      </w:r>
      <w:r>
        <w:rPr>
          <w:rFonts w:ascii="Times New Roman" w:cs="Times New Roman" w:eastAsia="Times New Roman" w:hAnsi="Times New Roman"/>
          <w:sz w:val="18"/>
          <w:szCs w:val="18"/>
          <w:b w:val="1"/>
          <w:bCs w:val="1"/>
          <w:i w:val="1"/>
          <w:iCs w:val="1"/>
          <w:color w:val="auto"/>
        </w:rPr>
        <w:t>European Economic Area</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26"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underwriter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shall require us or the underwriter to publish a prospectus pursuant to Article 3 of the Prospectus Regulation or supplement a prospectus pursuant to Article 23 of the Prospectus Regulation.</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No shares of our Class A common stock have been offered or sold, and no shares of our Class A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shares of our Class A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our Class A common stock which are or are intended to be disposed of only to persons outside Hong Kong or only to “professional investors” as defined in the SFO and any rules made under that Ordinance.</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supplement has not been registered with the Registrar of Companies in Hong Kong. Accordingly, this prospectus supplement may not be issued, circulated or distributed in Hong Kong, and the shares of our Class A common stock may not be offered for subscription to members of the public in Hong Kong. Each person acquiring the shares of our Class A common stock will be required, and is deemed by the acquisition of the shares of our Class A common stock, to confirm that he is aware of the restriction on offers of the shares of our Class A common stock described in this prospectus supplement and the relevant offering documents and that he is not acquiring, and has not been offered any shares of our Class A common stock in circumstances that contravene any such restrictions.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or the Securities Law, and has not been filed with or approved by the Israel Securities Authority. In Israel,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S-66</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is being distributed only to, and is directed only at, and any offer of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offering has not been and will not be registered under the Financial Instruments and Exchange Law of Japan (Law No. 25 of 1948 of Japan, as amended), or FIEL, and the underwriter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Class A common stock may not be circulated or distributed, nor may the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the shares of our Class A common stock are subscribed or purchased under Section 275 of the SFA by a relevant person which is:</w:t>
      </w:r>
    </w:p>
    <w:p>
      <w:pPr>
        <w:spacing w:after="0" w:line="171" w:lineRule="exact"/>
        <w:rPr>
          <w:sz w:val="20"/>
          <w:szCs w:val="20"/>
          <w:color w:val="auto"/>
        </w:rPr>
      </w:pPr>
    </w:p>
    <w:p>
      <w:pPr>
        <w:ind w:left="660" w:right="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Class A common stock pursuant to an offer made under Section 275 of the SFA except:</w:t>
      </w:r>
    </w:p>
    <w:p>
      <w:pPr>
        <w:spacing w:after="0" w:line="122" w:lineRule="exact"/>
        <w:rPr>
          <w:sz w:val="20"/>
          <w:szCs w:val="20"/>
          <w:color w:val="auto"/>
        </w:rPr>
      </w:pPr>
    </w:p>
    <w:p>
      <w:pPr>
        <w:ind w:left="660" w:right="5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S-67</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the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us or the securities have been or will be filed with or approved by any Swiss regulatory authority. In particular, this prospectus supplement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7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2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S-68</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validity of the securities offered hereby and certain other legal matters in connection with this offering will be passed upon by Fenwick &amp; West LLP, New York, New York. Certain legal matters relating to this offering will be passed upon for the underwriter by Ropes &amp; Gray LLP, Boston, Massachusetts.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GeneDx Holdings Corp. (f/k/a Sema4 Holdings Corp.) appearing in GeneDx Holdings Corp.’s Annual Report (Form 10-K) for the year ended December 31, 2021,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combined carve out financial statements of GeneDx, Inc. and subsidiary as of December 31, 2021 and 2020, and for each of the two years in the period ended December 31, 2021, included in the Proxy Statement of GeneDx Holdings Corp. dated March 31, 2022, incorporated by reference in this Prospectus Supplement and Registration Statement, have been audited by Ernst &amp; Young LLP, independent auditors, as set forth in their report thereon, and are incorporated herein by reference in reliance upon such report given on the authority of such firm as experts in accounting and auditing.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website address is www.sema4.com. The information on our website, however, is not, and should not be deemed to be, a part of this prospectus supplement.</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Statements in this prospectus supplement and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and the accompanying prospectus or a previously filed document incorporated by reference will be deemed to be modified or superseded for purposes of this prospectus supplement and the accompanying prospectus to the extent that a statement contained in this prospectus supplement and the accompanying prospectus or a subsequently filed document incorporated by reference modifies or replaces that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S-69</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by reference the documents set forth below that have previously been filed with the SEC:</w:t>
      </w:r>
    </w:p>
    <w:p>
      <w:pPr>
        <w:spacing w:after="0" w:line="108"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19">
        <w:r>
          <w:rPr>
            <w:rFonts w:ascii="Times New Roman" w:cs="Times New Roman" w:eastAsia="Times New Roman" w:hAnsi="Times New Roman"/>
            <w:sz w:val="18"/>
            <w:szCs w:val="18"/>
            <w:u w:val="single" w:color="auto"/>
            <w:color w:val="0000FF"/>
          </w:rPr>
          <w:t>March 14, 2022</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2022 filed with the SEC on </w:t>
      </w:r>
      <w:hyperlink r:id="rId20">
        <w:r>
          <w:rPr>
            <w:rFonts w:ascii="Times New Roman" w:cs="Times New Roman" w:eastAsia="Times New Roman" w:hAnsi="Times New Roman"/>
            <w:sz w:val="18"/>
            <w:szCs w:val="18"/>
            <w:u w:val="single" w:color="auto"/>
            <w:color w:val="0000FF"/>
          </w:rPr>
          <w:t>May 12, 2022</w:t>
        </w:r>
      </w:hyperlink>
      <w:r>
        <w:rPr>
          <w:rFonts w:ascii="Times New Roman" w:cs="Times New Roman" w:eastAsia="Times New Roman" w:hAnsi="Times New Roman"/>
          <w:sz w:val="18"/>
          <w:szCs w:val="18"/>
          <w:color w:val="auto"/>
        </w:rPr>
        <w:t xml:space="preserve">, our Quarterly Report on Form 10-Q for the quarterly period ended June 30, 2022 filed with the SEC on </w:t>
      </w:r>
      <w:hyperlink r:id="rId21">
        <w:r>
          <w:rPr>
            <w:rFonts w:ascii="Times New Roman" w:cs="Times New Roman" w:eastAsia="Times New Roman" w:hAnsi="Times New Roman"/>
            <w:sz w:val="18"/>
            <w:szCs w:val="18"/>
            <w:u w:val="single" w:color="auto"/>
            <w:color w:val="0000FF"/>
          </w:rPr>
          <w:t>August 15, 2022</w:t>
        </w:r>
      </w:hyperlink>
      <w:r>
        <w:rPr>
          <w:rFonts w:ascii="Times New Roman" w:cs="Times New Roman" w:eastAsia="Times New Roman" w:hAnsi="Times New Roman"/>
          <w:sz w:val="18"/>
          <w:szCs w:val="18"/>
          <w:color w:val="auto"/>
        </w:rPr>
        <w:t xml:space="preserve">, and our Quarterly Report on Form 10-Q for the quarterly period ended September 30, 2022 filed with the SEC on </w:t>
      </w:r>
      <w:hyperlink r:id="rId22">
        <w:r>
          <w:rPr>
            <w:rFonts w:ascii="Times New Roman" w:cs="Times New Roman" w:eastAsia="Times New Roman" w:hAnsi="Times New Roman"/>
            <w:sz w:val="18"/>
            <w:szCs w:val="18"/>
            <w:u w:val="single" w:color="auto"/>
            <w:color w:val="0000FF"/>
          </w:rPr>
          <w:t>November 14, 2022</w:t>
        </w:r>
      </w:hyperlink>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Commission on </w:t>
      </w:r>
      <w:hyperlink r:id="rId23">
        <w:r>
          <w:rPr>
            <w:rFonts w:ascii="Times New Roman" w:cs="Times New Roman" w:eastAsia="Times New Roman" w:hAnsi="Times New Roman"/>
            <w:sz w:val="18"/>
            <w:szCs w:val="18"/>
            <w:u w:val="single" w:color="auto"/>
            <w:color w:val="0000FF"/>
          </w:rPr>
          <w:t>January 18,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Items 1.01, 3.02 and 5.02, and Exhibits </w:t>
      </w:r>
      <w:hyperlink r:id="rId24">
        <w:r>
          <w:rPr>
            <w:rFonts w:ascii="Times New Roman" w:cs="Times New Roman" w:eastAsia="Times New Roman" w:hAnsi="Times New Roman"/>
            <w:sz w:val="18"/>
            <w:szCs w:val="18"/>
            <w:color w:val="auto"/>
          </w:rPr>
          <w:t xml:space="preserve">2.1, 10.1, 10.2, 10.3 and 10.4 thereto), </w:t>
        </w:r>
        <w:r>
          <w:rPr>
            <w:rFonts w:ascii="Times New Roman" w:cs="Times New Roman" w:eastAsia="Times New Roman" w:hAnsi="Times New Roman"/>
            <w:sz w:val="18"/>
            <w:szCs w:val="18"/>
            <w:u w:val="single" w:color="auto"/>
            <w:color w:val="0000FF"/>
          </w:rPr>
          <w:t>January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14, 2022</w:t>
        </w:r>
        <w:r>
          <w:rPr>
            <w:rFonts w:ascii="Times New Roman" w:cs="Times New Roman" w:eastAsia="Times New Roman" w:hAnsi="Times New Roman"/>
            <w:sz w:val="18"/>
            <w:szCs w:val="18"/>
            <w:color w:val="auto"/>
          </w:rPr>
          <w:t xml:space="preserve"> (but only with respect to Items 4.02 and 9.01 thereto), </w:t>
        </w:r>
        <w:r>
          <w:rPr>
            <w:rFonts w:ascii="Times New Roman" w:cs="Times New Roman" w:eastAsia="Times New Roman" w:hAnsi="Times New Roman"/>
            <w:sz w:val="18"/>
            <w:szCs w:val="18"/>
            <w:u w:val="single" w:color="auto"/>
            <w:color w:val="0000FF"/>
          </w:rPr>
          <w:t>April 27,</w:t>
        </w:r>
      </w:hyperlink>
    </w:p>
    <w:p>
      <w:pPr>
        <w:ind w:left="660" w:right="40"/>
        <w:spacing w:after="0" w:line="250" w:lineRule="auto"/>
        <w:rPr>
          <w:rFonts w:ascii="Times New Roman" w:cs="Times New Roman" w:eastAsia="Times New Roman" w:hAnsi="Times New Roman"/>
          <w:sz w:val="18"/>
          <w:szCs w:val="18"/>
          <w:color w:val="000000"/>
        </w:rPr>
      </w:pPr>
      <w:hyperlink r:id="rId24">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5">
        <w:r>
          <w:rPr>
            <w:rFonts w:ascii="Times New Roman" w:cs="Times New Roman" w:eastAsia="Times New Roman" w:hAnsi="Times New Roman"/>
            <w:sz w:val="18"/>
            <w:szCs w:val="18"/>
            <w:u w:val="single" w:color="auto"/>
            <w:color w:val="0000FF"/>
          </w:rPr>
          <w:t xml:space="preserve">May 2, 2022 </w:t>
        </w:r>
      </w:hyperlink>
      <w:hyperlink r:id="rId24">
        <w:r>
          <w:rPr>
            <w:rFonts w:ascii="Times New Roman" w:cs="Times New Roman" w:eastAsia="Times New Roman" w:hAnsi="Times New Roman"/>
            <w:sz w:val="18"/>
            <w:szCs w:val="18"/>
            <w:color w:val="000000"/>
          </w:rPr>
          <w:t xml:space="preserve">(but only with respect to Items 1.01, 2.01, 3.02, 5.02, 5.03, 8.01, 9.01(a) and 9.01(b), and Exhibits 2.1, 3.1, 10.1, 10.2, </w:t>
        </w:r>
      </w:hyperlink>
      <w:r>
        <w:rPr>
          <w:rFonts w:ascii="Times New Roman" w:cs="Times New Roman" w:eastAsia="Times New Roman" w:hAnsi="Times New Roman"/>
          <w:sz w:val="18"/>
          <w:szCs w:val="18"/>
          <w:color w:val="0000FF"/>
        </w:rPr>
        <w:t xml:space="preserve">23.1, </w:t>
      </w:r>
      <w:r>
        <w:rPr>
          <w:rFonts w:ascii="Times New Roman" w:cs="Times New Roman" w:eastAsia="Times New Roman" w:hAnsi="Times New Roman"/>
          <w:sz w:val="18"/>
          <w:szCs w:val="18"/>
          <w:color w:val="000000"/>
        </w:rPr>
        <w:t xml:space="preserve">99.2 and 99.3 thereto), </w:t>
      </w:r>
      <w:hyperlink r:id="rId26">
        <w:r>
          <w:rPr>
            <w:rFonts w:ascii="Times New Roman" w:cs="Times New Roman" w:eastAsia="Times New Roman" w:hAnsi="Times New Roman"/>
            <w:sz w:val="18"/>
            <w:szCs w:val="18"/>
            <w:u w:val="single" w:color="auto"/>
            <w:color w:val="0000FF"/>
          </w:rPr>
          <w:t>June 14,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Items 5.02 and 9.01), </w:t>
      </w:r>
      <w:hyperlink r:id="rId27">
        <w:r>
          <w:rPr>
            <w:rFonts w:ascii="Times New Roman" w:cs="Times New Roman" w:eastAsia="Times New Roman" w:hAnsi="Times New Roman"/>
            <w:sz w:val="18"/>
            <w:szCs w:val="18"/>
            <w:u w:val="single" w:color="auto"/>
            <w:color w:val="0000FF"/>
          </w:rPr>
          <w:t>July 1, 2022</w:t>
        </w:r>
      </w:hyperlink>
      <w:r>
        <w:rPr>
          <w:rFonts w:ascii="Times New Roman" w:cs="Times New Roman" w:eastAsia="Times New Roman" w:hAnsi="Times New Roman"/>
          <w:sz w:val="18"/>
          <w:szCs w:val="18"/>
          <w:color w:val="000000"/>
        </w:rPr>
        <w:t xml:space="preserve">, </w:t>
      </w:r>
      <w:hyperlink r:id="rId28">
        <w:r>
          <w:rPr>
            <w:rFonts w:ascii="Times New Roman" w:cs="Times New Roman" w:eastAsia="Times New Roman" w:hAnsi="Times New Roman"/>
            <w:sz w:val="18"/>
            <w:szCs w:val="18"/>
            <w:u w:val="single" w:color="auto"/>
            <w:color w:val="0000FF"/>
          </w:rPr>
          <w:t>August 26,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Items 5.02, 8.01, 9.01(a) and 9.01(b), and Exhibits 10.1, 99.2 and 99.3 thereto), </w:t>
      </w:r>
      <w:hyperlink r:id="rId29">
        <w:r>
          <w:rPr>
            <w:rFonts w:ascii="Times New Roman" w:cs="Times New Roman" w:eastAsia="Times New Roman" w:hAnsi="Times New Roman"/>
            <w:sz w:val="18"/>
            <w:szCs w:val="18"/>
            <w:u w:val="single" w:color="auto"/>
            <w:color w:val="0000FF"/>
          </w:rPr>
          <w:t>November 14,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(but only with respect to Item 2.05</w:t>
      </w:r>
    </w:p>
    <w:p>
      <w:pPr>
        <w:spacing w:after="0" w:line="1" w:lineRule="exact"/>
        <w:rPr>
          <w:rFonts w:ascii="Times New Roman" w:cs="Times New Roman" w:eastAsia="Times New Roman" w:hAnsi="Times New Roman"/>
          <w:sz w:val="18"/>
          <w:szCs w:val="18"/>
          <w:color w:val="000000"/>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thereto), </w:t>
      </w:r>
      <w:hyperlink r:id="rId30">
        <w:r>
          <w:rPr>
            <w:rFonts w:ascii="Times New Roman" w:cs="Times New Roman" w:eastAsia="Times New Roman" w:hAnsi="Times New Roman"/>
            <w:sz w:val="18"/>
            <w:szCs w:val="18"/>
            <w:u w:val="single" w:color="auto"/>
            <w:color w:val="0000FF"/>
          </w:rPr>
          <w:t>December 30, 2022</w:t>
        </w:r>
      </w:hyperlink>
      <w:r>
        <w:rPr>
          <w:rFonts w:ascii="Times New Roman" w:cs="Times New Roman" w:eastAsia="Times New Roman" w:hAnsi="Times New Roman"/>
          <w:sz w:val="18"/>
          <w:szCs w:val="18"/>
          <w:color w:val="auto"/>
        </w:rPr>
        <w:t xml:space="preserve">, and </w:t>
      </w:r>
      <w:hyperlink r:id="rId31">
        <w:r>
          <w:rPr>
            <w:rFonts w:ascii="Times New Roman" w:cs="Times New Roman" w:eastAsia="Times New Roman" w:hAnsi="Times New Roman"/>
            <w:sz w:val="18"/>
            <w:szCs w:val="18"/>
            <w:u w:val="single" w:color="auto"/>
            <w:color w:val="0000FF"/>
          </w:rPr>
          <w:t>January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(but only with respect to Item 5.03 thereto and Exhibits 3.1 and 3.2 thereto);</w:t>
      </w:r>
    </w:p>
    <w:p>
      <w:pPr>
        <w:spacing w:after="0" w:line="152"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combined carve-out balance sheets of GeneDx, Inc. and subsidiary as of December 31, 2021 and 2020, the related audited combined carve-out statements of comprehensive loss, equity and cash flows for each of the two years in the period ended December 31, 2021, and the related notes are included in our definitive proxy statement filed with the SEC on </w:t>
      </w:r>
      <w:hyperlink r:id="rId32">
        <w:r>
          <w:rPr>
            <w:rFonts w:ascii="Times New Roman" w:cs="Times New Roman" w:eastAsia="Times New Roman" w:hAnsi="Times New Roman"/>
            <w:sz w:val="18"/>
            <w:szCs w:val="18"/>
            <w:u w:val="single" w:color="auto"/>
            <w:color w:val="0000FF"/>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beginning on page F-41; and</w:t>
      </w:r>
    </w:p>
    <w:p>
      <w:pPr>
        <w:spacing w:after="0" w:line="12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our Registration Statement on </w:t>
      </w:r>
      <w:hyperlink r:id="rId33">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Commission on August 31, 2020, as updated by the description of our Class A common stock contained in Exhibit 4.4 to our Annual Report on </w:t>
      </w:r>
      <w:hyperlink r:id="rId19">
        <w:r>
          <w:rPr>
            <w:rFonts w:ascii="Times New Roman" w:cs="Times New Roman" w:eastAsia="Times New Roman" w:hAnsi="Times New Roman"/>
            <w:sz w:val="18"/>
            <w:szCs w:val="18"/>
            <w:u w:val="single" w:color="auto"/>
            <w:color w:val="0000FF"/>
          </w:rPr>
          <w:t>Form 10-K</w:t>
        </w:r>
      </w:hyperlink>
      <w:r>
        <w:rPr>
          <w:rFonts w:ascii="Times New Roman" w:cs="Times New Roman" w:eastAsia="Times New Roman" w:hAnsi="Times New Roman"/>
          <w:sz w:val="18"/>
          <w:szCs w:val="18"/>
          <w:color w:val="auto"/>
        </w:rPr>
        <w:t>, including any subsequent amendments or reports filed for the purpose of updating such description.</w:t>
      </w:r>
    </w:p>
    <w:p>
      <w:pPr>
        <w:spacing w:after="0" w:line="122" w:lineRule="exact"/>
        <w:rPr>
          <w:rFonts w:ascii="Times New Roman" w:cs="Times New Roman" w:eastAsia="Times New Roman" w:hAnsi="Times New Roman"/>
          <w:sz w:val="18"/>
          <w:szCs w:val="18"/>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pursuant to this prospectus supplement and the accompanying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spacing w:after="0" w:line="129" w:lineRule="exact"/>
        <w:rPr>
          <w:rFonts w:ascii="Times New Roman" w:cs="Times New Roman" w:eastAsia="Times New Roman" w:hAnsi="Times New Roman"/>
          <w:sz w:val="18"/>
          <w:szCs w:val="18"/>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supplement is delivered, upon written or oral request of such person, a copy of any or all of the documents incorporated by reference in this prospectus supplement, other than exhibits to such documents unless such exhibits are specifically incorporated by reference into such documents. Requests may be made by telephone at 1(800) 298-6470, or by sending a written request to GeneDx Holdings Corp., 333 Ludlow Street, North Tower, 8th Floor, Stamford, Connecticut 06902, Attention: Investor Relations.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S-70</w:t>
      </w:r>
    </w:p>
    <w:p>
      <w:pPr>
        <w:sectPr>
          <w:pgSz w:w="11900" w:h="16838" w:orient="portrait"/>
          <w:cols w:equalWidth="0" w:num="1">
            <w:col w:w="11220"/>
          </w:cols>
          <w:pgMar w:left="320" w:top="1440"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36195</wp:posOffset>
            </wp:positionV>
            <wp:extent cx="146558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14655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Sema4 Holdings Corp.</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Preferred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 Warrants, Subscription Rights and Units</w:t>
      </w:r>
    </w:p>
    <w:p>
      <w:pPr>
        <w:spacing w:after="0" w:line="1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we may offer up to $300,000,000 aggregate dollar amount of shares of our Class A common stock (the “Class A common stock”) or preferred stock, debt securities, warrants to purchase our Class A common stock, preferred stock or debt securities, subscription rights to purchase our Class A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if permitted, any related free writing prospectus. The prospectus supplement and, if permitted, any related free writing prospectus may also add, update or change information contained in this prospectus. The total amount of these securities will have an initial aggregate offering price of up to $300,000,000.</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the information incorporated, or deemed to be incorporated, by reference in this prospectus, and any applicable prospectus supplement and, if permitted, related free writing prospectus carefully before you invest.</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Class A common stock and public warrants are traded on The Nasdaq Global Select Market (the “Nasdaq”) under the symbols “SMFR” and “SMFRW,” respectively. On August 25, 2022, the last reported sales price of our Class A common stock was $1.22 per share and the last reported sales price of our public warrants was $0.31 per warrant. The applicable prospectus supplement and, if permitted, any related free writing prospectus will contain information, where applicable, as to any other listing on The Nasdaq Global Select Market or any securities market or exchange of the securities covered by the prospectus supplement and, if permitted, any related free writing prospectus.</w:t>
      </w:r>
    </w:p>
    <w:p>
      <w:pPr>
        <w:spacing w:after="0" w:line="1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Section 2(a) of the Securities Act of 1933, as amended, and, as such, have elected to comply with certain reduced disclosure and regulatory requirements. An investment in our securities involves a high degree of risk. You should carefully consider the information under the heading “</w:t>
      </w:r>
      <w:r>
        <w:rPr>
          <w:rFonts w:ascii="Times New Roman" w:cs="Times New Roman" w:eastAsia="Times New Roman" w:hAnsi="Times New Roman"/>
          <w:sz w:val="18"/>
          <w:szCs w:val="18"/>
          <w:b w:val="1"/>
          <w:bCs w:val="1"/>
          <w:i w:val="1"/>
          <w:i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b w:val="1"/>
          <w:bCs w:val="1"/>
          <w:color w:val="auto"/>
        </w:rPr>
        <w:t xml:space="preserve"> of this prospectus, as well as the sections entitled “Risk Factors” beginning on page 30 of our Annual Report on Form 10-K for the year ended December 31, 2021, beginning on page 46 of our Quarterly Report on Form 10-Q for the quarter ended March 31, 2022 and beginning on page 60 of our Quarterly Report on Form 10-Q for the quarter ended June 30, 2022, which reports are incorporated by reference in this prospectus, before investing in our securities.</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Class A 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w:t>
      </w:r>
    </w:p>
    <w:p>
      <w:pPr>
        <w:spacing w:after="0" w:line="12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7, 2022</w:t>
      </w:r>
    </w:p>
    <w:p>
      <w:pPr>
        <w:sectPr>
          <w:pgSz w:w="11900" w:h="16838" w:orient="portrait"/>
          <w:cols w:equalWidth="0" w:num="1">
            <w:col w:w="11240"/>
          </w:cols>
          <w:pgMar w:left="320" w:top="1332" w:right="339" w:bottom="1440" w:gutter="0" w:footer="0" w:header="0"/>
        </w:sectPr>
      </w:pPr>
    </w:p>
    <w:bookmarkStart w:id="73" w:name="page74"/>
    <w:bookmarkEnd w:id="73"/>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080" w:type="dxa"/>
            <w:vAlign w:val="bottom"/>
            <w:gridSpan w:val="8"/>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gridSpan w:val="6"/>
            <w:vMerge w:val="continue"/>
          </w:tcPr>
          <w:p>
            <w:pPr>
              <w:spacing w:after="0"/>
              <w:rPr>
                <w:sz w:val="15"/>
                <w:szCs w:val="15"/>
                <w:color w:val="auto"/>
              </w:rPr>
            </w:pPr>
          </w:p>
        </w:tc>
        <w:tc>
          <w:tcPr>
            <w:tcW w:w="8080" w:type="dxa"/>
            <w:vAlign w:val="bottom"/>
            <w:gridSpan w:val="8"/>
            <w:vMerge w:val="continue"/>
          </w:tcPr>
          <w:p>
            <w:pPr>
              <w:spacing w:after="0"/>
              <w:rPr>
                <w:sz w:val="15"/>
                <w:szCs w:val="15"/>
                <w:color w:val="auto"/>
              </w:rPr>
            </w:pPr>
          </w:p>
        </w:tc>
        <w:tc>
          <w:tcPr>
            <w:tcW w:w="90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SELECTED DEFINITIONS</w:t>
            </w:r>
          </w:p>
        </w:tc>
        <w:tc>
          <w:tcPr>
            <w:tcW w:w="180" w:type="dxa"/>
            <w:vAlign w:val="bottom"/>
          </w:tcPr>
          <w:p>
            <w:pPr>
              <w:spacing w:after="0"/>
              <w:rPr>
                <w:sz w:val="18"/>
                <w:szCs w:val="18"/>
                <w:color w:val="auto"/>
              </w:rPr>
            </w:pPr>
          </w:p>
        </w:tc>
        <w:tc>
          <w:tcPr>
            <w:tcW w:w="8080" w:type="dxa"/>
            <w:vAlign w:val="bottom"/>
            <w:gridSpan w:val="8"/>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260" w:type="dxa"/>
            <w:vAlign w:val="bottom"/>
            <w:gridSpan w:val="9"/>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0" w:type="dxa"/>
            <w:vAlign w:val="bottom"/>
            <w:gridSpan w:val="3"/>
          </w:tcPr>
          <w:p>
            <w:pPr>
              <w:spacing w:after="0"/>
              <w:rPr>
                <w:sz w:val="18"/>
                <w:szCs w:val="18"/>
                <w:color w:val="auto"/>
              </w:rPr>
            </w:pPr>
          </w:p>
        </w:tc>
        <w:tc>
          <w:tcPr>
            <w:tcW w:w="8260" w:type="dxa"/>
            <w:vAlign w:val="bottom"/>
            <w:gridSpan w:val="9"/>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960" w:type="dxa"/>
            <w:vAlign w:val="bottom"/>
            <w:gridSpan w:val="2"/>
          </w:tcPr>
          <w:p>
            <w:pPr>
              <w:spacing w:after="0"/>
              <w:rPr>
                <w:sz w:val="18"/>
                <w:szCs w:val="18"/>
                <w:color w:val="auto"/>
              </w:rPr>
            </w:pPr>
          </w:p>
        </w:tc>
        <w:tc>
          <w:tcPr>
            <w:tcW w:w="454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INCORPORATION OF INFORMATION BY REFERENCE</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5940" w:type="dxa"/>
            <w:vAlign w:val="bottom"/>
            <w:gridSpan w:val="2"/>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8260" w:type="dxa"/>
            <w:vAlign w:val="bottom"/>
            <w:gridSpan w:val="9"/>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40" w:type="dxa"/>
            <w:vAlign w:val="bottom"/>
            <w:gridSpan w:val="6"/>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300" w:type="dxa"/>
            <w:vAlign w:val="bottom"/>
            <w:gridSpan w:val="5"/>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DESCRIPTION OF SUBSCRIPTION RIGHTS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DESCRIPTION OF UNITS</w:t>
            </w:r>
          </w:p>
        </w:tc>
        <w:tc>
          <w:tcPr>
            <w:tcW w:w="686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260" w:type="dxa"/>
            <w:vAlign w:val="bottom"/>
            <w:gridSpan w:val="9"/>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2"/>
          </w:tcPr>
          <w:p>
            <w:pPr>
              <w:spacing w:after="0"/>
              <w:rPr>
                <w:sz w:val="18"/>
                <w:szCs w:val="18"/>
                <w:color w:val="auto"/>
              </w:rPr>
            </w:pPr>
          </w:p>
        </w:tc>
        <w:tc>
          <w:tcPr>
            <w:tcW w:w="8860" w:type="dxa"/>
            <w:vAlign w:val="bottom"/>
            <w:gridSpan w:val="11"/>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74" w:name="page75"/>
    <w:bookmarkEnd w:id="7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is part of a registration statement on Form S-3 that we filed with the Securities and Exchange Commission (the “SEC”) using a “shelf” registration process. Under this shelf registration process, from time to time, we may sell any combination of the securities described in this prospectus in one or more offerings, up to a total dollar amount of $300,000,000. We have provided to you in this prospectus a general description of the securities we may offer. Each time we sell securities under this shelf registration process, we will provide a prospectus supplement that will contain specific information about the terms of the offering. We may also add, update or change in the prospectus supplement any of the information contained in this prospectus. To the extent there is a conflict between the information contained in this prospectus and the prospectus supplement, you should rely on the information in the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statement in one of these documents is inconsistent with a statement in another document having a later date— for example, a document incorporated by reference in this prospectus or any prospectus supplement—the statement in the document having the later date modifies or supersedes the earlier statement. You should read both this prospectus and any prospectus supplement together with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Information by Reference</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we, nor any agent, underwriter or dealer have authorized anyone to give you any information or to make any representation other than the information and representations contained in or incorporated by reference into this prospectus or any applicable prospectus supplement. We and any agent, underwriter or dealer take no responsibility for, and can provide no assurance as to the reliability of, any other information others may give you.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w:t>
      </w:r>
    </w:p>
    <w:p>
      <w:pPr>
        <w:spacing w:after="0" w:line="13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PROSPECTUS MAY NOT BE USED TO OFFER AND SELL SECURITIES UNLESS IT IS ACCOMPANIED BY AN ADDITIONAL PROSPECTUS OR A PROSPECTUS SUPPLEMENT.</w:t>
      </w:r>
    </w:p>
    <w:p>
      <w:pPr>
        <w:spacing w:after="0" w:line="1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the “Company,” “Sema4” and “we,” “us” and “our” refer to (i) Mount Sinai Genomics, Inc. d/b/a as Sema4 (“Legacy Sema4”) prior to the consummation of our business combination with CM Life Sciences, Inc. (“CMLS”) on July 22, 2021 (the “Business Combination”) and (ii) Sema4 Holdings Corp. (“Sema4 Holdings”) and its consolidated subsidiaries following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75" w:name="page76"/>
    <w:bookmarkEnd w:id="75"/>
    <w:p>
      <w:pPr>
        <w:spacing w:after="0" w:line="1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references to:</w:t>
      </w:r>
    </w:p>
    <w:p>
      <w:pPr>
        <w:spacing w:after="0" w:line="16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Amended and Restated Certificate of Incorporation”</w:t>
      </w:r>
      <w:r>
        <w:rPr>
          <w:rFonts w:ascii="Times New Roman" w:cs="Times New Roman" w:eastAsia="Times New Roman" w:hAnsi="Times New Roman"/>
          <w:sz w:val="18"/>
          <w:szCs w:val="18"/>
          <w:color w:val="auto"/>
        </w:rPr>
        <w:t xml:space="preserve"> mean our Third Amended and Restated Certificate of Incorporation, dated as of July 22, 2021, as amended by the Amendment to the Amended and Restated Certificate of Incorporation, dated as of April 29,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 the board of directors of the Company.</w:t>
      </w:r>
    </w:p>
    <w:p>
      <w:pPr>
        <w:spacing w:after="0" w:line="171"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 the transactions contemplated by the Business Combination Merger Agreement pursuant to which Legacy Sema4 consummated its business combination with CMLS on July 22, 2021.</w:t>
      </w:r>
    </w:p>
    <w:p>
      <w:pPr>
        <w:spacing w:after="0" w:line="10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Merger Agreement</w:t>
      </w:r>
      <w:r>
        <w:rPr>
          <w:rFonts w:ascii="Times New Roman" w:cs="Times New Roman" w:eastAsia="Times New Roman" w:hAnsi="Times New Roman"/>
          <w:sz w:val="18"/>
          <w:szCs w:val="18"/>
          <w:color w:val="auto"/>
        </w:rPr>
        <w:t>” mean that certain Agreement and Plan of Merger, dated as of February 9, 2021, as amended, by and among CMLS, S-IV Sub, Inc. and Legacy Sema4.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CMLS</w:t>
      </w:r>
      <w:r>
        <w:rPr>
          <w:rFonts w:ascii="Times New Roman" w:cs="Times New Roman" w:eastAsia="Times New Roman" w:hAnsi="Times New Roman"/>
          <w:sz w:val="18"/>
          <w:szCs w:val="18"/>
          <w:color w:val="auto"/>
        </w:rPr>
        <w:t>” mean CM Life Sciences, Inc. prior to the closing of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Former Sponsor</w:t>
      </w:r>
      <w:r>
        <w:rPr>
          <w:rFonts w:ascii="Times New Roman" w:cs="Times New Roman" w:eastAsia="Times New Roman" w:hAnsi="Times New Roman"/>
          <w:sz w:val="18"/>
          <w:szCs w:val="18"/>
          <w:color w:val="auto"/>
        </w:rPr>
        <w:t>” mean CMLS Holdings LLC, a Delaware limited liability company.</w:t>
      </w:r>
    </w:p>
    <w:p>
      <w:pPr>
        <w:spacing w:after="0" w:line="17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mean GeneDx, LLC, a Delaware limited liability company (formerly, GeneDx, Inc., a New Jersey corporation), which we acquired on April 29, 2022.</w:t>
      </w:r>
    </w:p>
    <w:p>
      <w:pPr>
        <w:spacing w:after="0" w:line="104"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mean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1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mean the 7,236,667 warrants originally issued to the Former Sponsor and certain of the other initial stockholders of CMLS in a private placement in connection with our IPO.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 the 14,758,305 warrants included in the units issued in our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mean holders of shares of our Class A common stock.</w:t>
      </w:r>
    </w:p>
    <w:p>
      <w:pPr>
        <w:spacing w:after="0" w:line="17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 agreement</w:t>
      </w:r>
      <w:r>
        <w:rPr>
          <w:rFonts w:ascii="Times New Roman" w:cs="Times New Roman" w:eastAsia="Times New Roman" w:hAnsi="Times New Roman"/>
          <w:sz w:val="18"/>
          <w:szCs w:val="18"/>
          <w:color w:val="auto"/>
        </w:rPr>
        <w:t>” mean the warrant agreement between us and Continental Stock Transfer &amp; Trust Company, as warrant agent, governing the terms of the private placement warrants and the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45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136130" cy="774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our securities. You should read the entire prospectus and the information incorporated by reference in this prospectus carefully, including “Risk Factors” and the financial statements and related notes incorporated by reference herein, before making an investment decision.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are a health insights company dedicated to accelerating the use of genomics and leveraging large-scale clinical data to enhance the standard of care through the more extensive use of precision medicine. Our mission is to unlock insights from data, leading to healthier lives and a healthier society. We are one of the largest and most advanced providers of genomic testing in the U.S. and have an industry-leading health information database to transform patient care and improve therapeutic development.</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focused on effectively delivering our portfolio of genomic and data solutions to guide patients through their family health journey. That includes family planning, delivery, pediatrics, hereditary cancer screening, and rare disorders for children and adults. We are committed to helping families make better health decisions with our panels, exome, and genome – fueled by our interpretation platform designed for a genome’s worth of information and a data engine built to combine genomic and clinical data to deliver better insights.</w:t>
      </w:r>
    </w:p>
    <w:p>
      <w:pPr>
        <w:spacing w:after="0" w:line="1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Our integrated information platform leverages longitudinal patient data, artificial intelligence (“AI”)-driven predictive modeling, and genomics in combination with other molecular and high-dimensional data in our efforts both to deliver better outcomes for patients and to transform the practice of medicine, including how disease is diagnosed, treated, and prevented. We now maintain a database that includes patient data available for research on approximately 12 million patients from a number of public and proprietary sources, including more than five million patients available with clinical data through our partner health systems and genomic testing solutions. </w:t>
      </w:r>
      <w:r>
        <w:rPr>
          <w:rFonts w:ascii="Times New Roman" w:cs="Times New Roman" w:eastAsia="Times New Roman" w:hAnsi="Times New Roman"/>
          <w:sz w:val="18"/>
          <w:szCs w:val="18"/>
          <w:color w:val="auto"/>
          <w:highlight w:val="white"/>
        </w:rPr>
        <w:t>Our data asset also includes one of the world’s largest datasets of approximately 400,000 clinical exomes, the vast majority of which are associated with rare disease, providing us an unparalleled platform for pharmaceutical and biotech (“Biopharma”) companies to leverage.</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Today, by providing differentiated insights through diagnostic testing solutions to physicians and patients across the United States (the “U.S.”) in areas such as reproductive and women’s health, pediatric and rare disease health, and population health, , we are reimbursed by payors, providers, and patients for providing these services. In collaboration with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this prospectus, we may offer shares of our Class A common stock or preferred stock, debt securities, warrants to purchase our Class A common stock, preferred stock or debt securities, subscription rights to purchase our Class A common stock, preferred stock or debt securities, and/or units consisting of some or all of these securities in any combination. The aggregate offering price of securities that we offer with this prospectus will not exceed $300,000,000. Each time we offer securities with this prospectus, we will provide offerees with a prospectus supplement that will contain the specific terms of the securities being offered. The following is a summary of the securities we may offer with this prospectus.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880"/>
          </w:cols>
          <w:pgMar w:left="1000" w:top="1440" w:right="1019" w:bottom="1440" w:gutter="0" w:footer="0" w:header="0"/>
          <w:type w:val="continuous"/>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shares of our Class A common stock, par value $0.0001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offer shares of our preferred stock, par value $0.0001 per share, in one or more series. Our board of directors (the “Board”)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Class A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offer general obligations, which may be secured or unsecured, senior or subordinated and convertible into shares of our Class A common stock or preferred stock. In this prospectus, we refer to the senior debt securities and the subordinated debt securities together as the “debt securities.” Our Board will determine the terms of each series of debt securities being offered.</w:t>
      </w:r>
    </w:p>
    <w:p>
      <w:pPr>
        <w:spacing w:after="0" w:line="12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will issue the debt securities under an indenture between us and a trustee. In this prospectus, we have summarized general features of the debt securities from the indenture. We encourage you to read the indenture, which is an exhibit to the registration statement of which this prospectus is a part. </w:t>
      </w:r>
      <w:r>
        <w:rPr>
          <w:rFonts w:ascii="Times New Roman" w:cs="Times New Roman" w:eastAsia="Times New Roman" w:hAnsi="Times New Roman"/>
          <w:sz w:val="18"/>
          <w:szCs w:val="18"/>
          <w:color w:val="auto"/>
          <w:highlight w:val="white"/>
        </w:rPr>
        <w:t>The actual indenture we enter into in connection with an offering of debt securities may differ significantly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the form of indenture we have filed.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debt securities, shares of preferred stock or shares of Class A common stock. We may issue warrants independently or together with other securities. Our Board will determine the terms of the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75"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We may offer subscription rights for the purchase of Class A common stock, preferred stock or debt securities. We may issue subscription rights independently or together with other securities. Our Board will determine the terms of the subscription rights.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offer units consisting of some or all of the securities described above, in any combination, including Class A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were incorporated on July 10, 2020 as a special purpose acquisition company and a Delaware corporation under the name CM Life Sciences, Inc. (“CMLS”). On September 4, 2020, CMLS completed its initial public offering. On July 22, 2021, CMLS consummated the Business Combination with Legacy Sema4 pursuant to the Business Combination Merger Agreement. In connection with the Business Combination, CMLS changed its name to Sema4 Holdings Corp. (“Sema4 Holdings”).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address is 333 Ludlow Street, North Tower, 8th Floor, Stamford, Connecticut 06902. Our telephone number is 1(800) 298-6470. Our website address is https://sema4.com. Information contained on our website or connected thereto does not constitute part of, and is not incorporated by reference into, this prospectus or the registration statement of which it forms a part.</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80"/>
          </w:cols>
          <w:pgMar w:left="1000" w:top="1440" w:right="1019" w:bottom="1440" w:gutter="0" w:footer="0" w:header="0"/>
          <w:type w:val="continuous"/>
        </w:sectPr>
      </w:pPr>
    </w:p>
    <w:bookmarkStart w:id="78" w:name="page79"/>
    <w:bookmarkEnd w:id="78"/>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consider the risk factors described in the “Risk Factors” sections of our Annual Report on Form 10-K for the fiscal year ended December 31, 2021, our Quarterly Report on Form 10-Q for the quarter ended March 31, 2022 and our Quarterly Report on Form 10-Q for the quarter ended June 30, 2022, which reports are incorporated herein by reference, in addition to the factors set forth below and other information contained in or incorporated by reference in this prospectus or in any prospectus supplement or post-effective amendment, if required, before purchasing any of our securities. We may face additional risks and uncertainties that are not presently known to us, or that we currently deem immaterial, which may also impair our business or financial condition.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Incorporation of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1440" w:right="439" w:bottom="1440" w:gutter="0" w:footer="0" w:header="0"/>
        </w:sectPr>
      </w:pPr>
    </w:p>
    <w:bookmarkStart w:id="79" w:name="page80"/>
    <w:bookmarkEnd w:id="7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prospectus and the documents incorporated by reference in this prospectus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 and elsewhere in this prospectus and the documents incorporated by reference herein,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4"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expected from our April 2022 acquisition of GeneDx;</w:t>
      </w:r>
    </w:p>
    <w:p>
      <w:pPr>
        <w:spacing w:after="0" w:line="171" w:lineRule="exact"/>
        <w:rPr>
          <w:rFonts w:ascii="Times New Roman" w:cs="Times New Roman" w:eastAsia="Times New Roman" w:hAnsi="Times New Roman"/>
          <w:sz w:val="18"/>
          <w:szCs w:val="18"/>
          <w:color w:val="auto"/>
        </w:rPr>
      </w:pPr>
    </w:p>
    <w:p>
      <w:pPr>
        <w:ind w:left="660" w:right="9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including supply chain interruptions and manufacturing constraints, arising from or related to the ongoing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plans to exit out somatic tumor testing business and the associated cost savings and impact on our gross margins;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(the “FDA”) or other regulatory authorities;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laboratories and service providers for our test volume in connection with our diagnostic solutions and data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Nasdaq listing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80" w:name="page81"/>
    <w:bookmarkEnd w:id="80"/>
    <w:p>
      <w:pPr>
        <w:spacing w:after="0" w:line="140" w:lineRule="exact"/>
        <w:rPr>
          <w:sz w:val="20"/>
          <w:szCs w:val="20"/>
          <w:color w:val="auto"/>
        </w:rPr>
      </w:pPr>
    </w:p>
    <w:p>
      <w:pPr>
        <w:ind w:left="660" w:right="44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including the adequacy of our reserves for third party payor claims and our estimates of the fair value of milestone payments related to the April 2022 acquisition of GeneDx;</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 and</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and the documents incorporated by reference herein reflect our views and assumptions only as of the date of this prospectus or such document, as applicable. Except as required by law, we assume no responsibility for updating any forward-looking statements.</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440" w:right="379" w:bottom="1440" w:gutter="0" w:footer="0" w:header="0"/>
        </w:sectPr>
      </w:pPr>
    </w:p>
    <w:bookmarkStart w:id="81" w:name="page82"/>
    <w:bookmarkEnd w:id="81"/>
    <w:p>
      <w:pPr>
        <w:spacing w:after="0" w:line="1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website address is www.sema4.com. The information on our website, however, is not, and should not be deemed to be, a part of this prospectus.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and any applicable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320" w:top="1440" w:right="539" w:bottom="1440" w:gutter="0" w:footer="0" w:header="0"/>
        </w:sectPr>
      </w:pPr>
    </w:p>
    <w:bookmarkStart w:id="82" w:name="page83"/>
    <w:bookmarkEnd w:id="8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have previously been filed with the SEC:</w:t>
      </w:r>
    </w:p>
    <w:p>
      <w:pPr>
        <w:spacing w:after="0" w:line="171"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19">
        <w:r>
          <w:rPr>
            <w:rFonts w:ascii="Times New Roman" w:cs="Times New Roman" w:eastAsia="Times New Roman" w:hAnsi="Times New Roman"/>
            <w:sz w:val="18"/>
            <w:szCs w:val="18"/>
            <w:u w:val="single" w:color="auto"/>
            <w:color w:val="0000FF"/>
          </w:rPr>
          <w:t>March 14, 2022</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2022, filed with the SEC on </w:t>
      </w:r>
      <w:hyperlink r:id="rId20">
        <w:r>
          <w:rPr>
            <w:rFonts w:ascii="Times New Roman" w:cs="Times New Roman" w:eastAsia="Times New Roman" w:hAnsi="Times New Roman"/>
            <w:sz w:val="18"/>
            <w:szCs w:val="18"/>
            <w:u w:val="single" w:color="auto"/>
            <w:color w:val="0000FF"/>
          </w:rPr>
          <w:t>May 12, 2022</w:t>
        </w:r>
      </w:hyperlink>
      <w:r>
        <w:rPr>
          <w:rFonts w:ascii="Times New Roman" w:cs="Times New Roman" w:eastAsia="Times New Roman" w:hAnsi="Times New Roman"/>
          <w:sz w:val="18"/>
          <w:szCs w:val="18"/>
          <w:color w:val="auto"/>
        </w:rPr>
        <w:t xml:space="preserve">, and our Quarterly Report on Form 10-Q for the quarterly period ended June 30, 2022, filed with the SEC on </w:t>
      </w:r>
      <w:hyperlink r:id="rId21">
        <w:r>
          <w:rPr>
            <w:rFonts w:ascii="Times New Roman" w:cs="Times New Roman" w:eastAsia="Times New Roman" w:hAnsi="Times New Roman"/>
            <w:sz w:val="18"/>
            <w:szCs w:val="18"/>
            <w:u w:val="single" w:color="auto"/>
            <w:color w:val="0000FF"/>
          </w:rPr>
          <w:t>August 15, 2022</w:t>
        </w:r>
      </w:hyperlink>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49"/>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23">
        <w:r>
          <w:rPr>
            <w:rFonts w:ascii="Times New Roman" w:cs="Times New Roman" w:eastAsia="Times New Roman" w:hAnsi="Times New Roman"/>
            <w:sz w:val="18"/>
            <w:szCs w:val="18"/>
            <w:u w:val="single" w:color="auto"/>
            <w:color w:val="0000FF"/>
          </w:rPr>
          <w:t>January 18,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Items 1.01, 3.02, 5.02 and Exhibits 2.1, 10.1, </w:t>
      </w:r>
      <w:hyperlink r:id="rId25">
        <w:r>
          <w:rPr>
            <w:rFonts w:ascii="Times New Roman" w:cs="Times New Roman" w:eastAsia="Times New Roman" w:hAnsi="Times New Roman"/>
            <w:sz w:val="18"/>
            <w:szCs w:val="18"/>
            <w:color w:val="auto"/>
          </w:rPr>
          <w:t xml:space="preserve">10.2, 10.3 and 10.4 thereto), </w:t>
        </w:r>
        <w:r>
          <w:rPr>
            <w:rFonts w:ascii="Times New Roman" w:cs="Times New Roman" w:eastAsia="Times New Roman" w:hAnsi="Times New Roman"/>
            <w:sz w:val="18"/>
            <w:szCs w:val="18"/>
            <w:u w:val="single" w:color="auto"/>
            <w:color w:val="0000FF"/>
          </w:rPr>
          <w:t>January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14, 2022</w:t>
        </w:r>
        <w:r>
          <w:rPr>
            <w:rFonts w:ascii="Times New Roman" w:cs="Times New Roman" w:eastAsia="Times New Roman" w:hAnsi="Times New Roman"/>
            <w:sz w:val="18"/>
            <w:szCs w:val="18"/>
            <w:color w:val="auto"/>
          </w:rPr>
          <w:t xml:space="preserve"> (but only with respect to Item 4.02 and 9.01 thereto), </w:t>
        </w:r>
        <w:r>
          <w:rPr>
            <w:rFonts w:ascii="Times New Roman" w:cs="Times New Roman" w:eastAsia="Times New Roman" w:hAnsi="Times New Roman"/>
            <w:sz w:val="18"/>
            <w:szCs w:val="18"/>
            <w:u w:val="single" w:color="auto"/>
            <w:color w:val="0000FF"/>
          </w:rPr>
          <w:t>April 27,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2,</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(but only with respect to Items 1.01, 2.01, 3.02, 5.02, 5.03, 8.01, 9.01(a) and 9.01(b), and Exhibits 2.1, 3.1, 10.1, 10.2, 23.1, 99.2 and </w:t>
        </w:r>
      </w:hyperlink>
      <w:r>
        <w:rPr>
          <w:rFonts w:ascii="Times New Roman" w:cs="Times New Roman" w:eastAsia="Times New Roman" w:hAnsi="Times New Roman"/>
          <w:sz w:val="18"/>
          <w:szCs w:val="18"/>
          <w:color w:val="0000FF"/>
        </w:rPr>
        <w:t xml:space="preserve">99.3 </w:t>
      </w:r>
      <w:r>
        <w:rPr>
          <w:rFonts w:ascii="Times New Roman" w:cs="Times New Roman" w:eastAsia="Times New Roman" w:hAnsi="Times New Roman"/>
          <w:sz w:val="18"/>
          <w:szCs w:val="18"/>
          <w:color w:val="000000"/>
        </w:rPr>
        <w:t xml:space="preserve">thereto), </w:t>
      </w:r>
      <w:hyperlink r:id="rId26">
        <w:r>
          <w:rPr>
            <w:rFonts w:ascii="Times New Roman" w:cs="Times New Roman" w:eastAsia="Times New Roman" w:hAnsi="Times New Roman"/>
            <w:sz w:val="18"/>
            <w:szCs w:val="18"/>
            <w:u w:val="single" w:color="auto"/>
            <w:color w:val="0000FF"/>
          </w:rPr>
          <w:t>June 14,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Items 5.02 and 9.01), </w:t>
      </w:r>
      <w:hyperlink r:id="rId27">
        <w:r>
          <w:rPr>
            <w:rFonts w:ascii="Times New Roman" w:cs="Times New Roman" w:eastAsia="Times New Roman" w:hAnsi="Times New Roman"/>
            <w:sz w:val="18"/>
            <w:szCs w:val="18"/>
            <w:u w:val="single" w:color="auto"/>
            <w:color w:val="0000FF"/>
          </w:rPr>
          <w:t>July 1, 2022</w:t>
        </w:r>
      </w:hyperlink>
      <w:r>
        <w:rPr>
          <w:rFonts w:ascii="Times New Roman" w:cs="Times New Roman" w:eastAsia="Times New Roman" w:hAnsi="Times New Roman"/>
          <w:sz w:val="18"/>
          <w:szCs w:val="18"/>
          <w:color w:val="000000"/>
        </w:rPr>
        <w:t xml:space="preserve">, and </w:t>
      </w:r>
      <w:hyperlink r:id="rId28">
        <w:r>
          <w:rPr>
            <w:rFonts w:ascii="Times New Roman" w:cs="Times New Roman" w:eastAsia="Times New Roman" w:hAnsi="Times New Roman"/>
            <w:sz w:val="18"/>
            <w:szCs w:val="18"/>
            <w:u w:val="single" w:color="auto"/>
            <w:color w:val="0000FF"/>
          </w:rPr>
          <w:t>August 26,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(but only with respect to Items 5.02, 8.01, 9.01(a) and 9.01(b), and Exhibits 10.1, 99.2 and 99.3);</w:t>
      </w:r>
    </w:p>
    <w:p>
      <w:pPr>
        <w:spacing w:after="0" w:line="129" w:lineRule="exact"/>
        <w:rPr>
          <w:rFonts w:ascii="Times New Roman" w:cs="Times New Roman" w:eastAsia="Times New Roman" w:hAnsi="Times New Roman"/>
          <w:sz w:val="18"/>
          <w:szCs w:val="18"/>
          <w:color w:val="000000"/>
        </w:rPr>
      </w:pPr>
    </w:p>
    <w:p>
      <w:pPr>
        <w:ind w:left="660" w:right="12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combined carve-out balance sheets of GeneDx and subsidiary as of December 31, 2021 and 2020, the related audited combined carve out statements of comprehensive loss, equity and cash flows for each of the two years in the period ended December 31, 2021, and the related notes are included in our definitive proxy statement filed with the SEC on March 31, 2022 beginning on page F-41; and</w:t>
      </w:r>
    </w:p>
    <w:p>
      <w:pPr>
        <w:spacing w:after="0" w:line="12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our Registration Statement on </w:t>
      </w:r>
      <w:hyperlink r:id="rId33">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31, 2020, as updated by the description of our Class A common stock contained in Exhibit 4.4 to our Annual Report on </w:t>
      </w:r>
      <w:hyperlink r:id="rId19">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including any subsequent amendments or reports filed for the purpose of updating such description.</w:t>
      </w:r>
    </w:p>
    <w:p>
      <w:pPr>
        <w:spacing w:after="0" w:line="122" w:lineRule="exact"/>
        <w:rPr>
          <w:rFonts w:ascii="Times New Roman" w:cs="Times New Roman" w:eastAsia="Times New Roman" w:hAnsi="Times New Roman"/>
          <w:sz w:val="18"/>
          <w:szCs w:val="18"/>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26" w:lineRule="exact"/>
        <w:rPr>
          <w:rFonts w:ascii="Times New Roman" w:cs="Times New Roman" w:eastAsia="Times New Roman" w:hAnsi="Times New Roman"/>
          <w:sz w:val="18"/>
          <w:szCs w:val="18"/>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by telephone at 1(800) 298-6470, or by sending a written request to Sema4 Holdings Corp., 333 Ludlow Street, North Tower, 8th Floor, Stamford, Connecticut 06902, Attention: Investor Relations.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40" w:right="359" w:bottom="1440" w:gutter="0" w:footer="0" w:header="0"/>
        </w:sectPr>
      </w:pPr>
    </w:p>
    <w:bookmarkStart w:id="83" w:name="page84"/>
    <w:bookmarkEnd w:id="83"/>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General corporate purposes may include additions to working capital, repayment or redemption of existing indebtedness, and strategic investment opportunities. Unless we state otherwise in the applicable prospectus supplement, pending the application of net proceeds, we expect to invest the net proceeds in investment 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80"/>
          </w:cols>
          <w:pgMar w:left="320" w:top="1440" w:right="399" w:bottom="1440" w:gutter="0" w:footer="0" w:header="0"/>
        </w:sectPr>
      </w:pPr>
    </w:p>
    <w:bookmarkStart w:id="84" w:name="page85"/>
    <w:bookmarkEnd w:id="8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sell the securities covered by this prospectus to one or more underwriters for public offering and sale by them, and may also sell the securities to investors directly or through agents.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w:t>
      </w:r>
    </w:p>
    <w:p>
      <w:pPr>
        <w:spacing w:after="0" w:line="126"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securities we offer under this prospectus may or may not be listed through The Nasdaq Global Select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may issue to our existing security holders, through a dividend or similar distribution, subscription rights to purchase our securities, which may or may not be transferable. In any distribution of subscription rights to our existing security holders, if all of the underlying securities are not subscribed for, we may then sell the unsubscribed securities directly to third parties or may engage the services of one or more underwriters, dealers or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85" w:name="page86"/>
    <w:bookmarkEnd w:id="85"/>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including standby underwriters, to sell the unsubscribed securities to third parties. The applicable prospectus supplement will describe the specific terms of any offering of our securities through the issuance of subscription rights, including, if applicable, the material terms of any standby underwriting or purchase arrangement.</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borrowed from us or others to settle those sales or to close out any related open borrowings of securities, and they may use securities received from us in settlement of those derivatives to close out any related open borrowings of securities. The third party in these sale transactions will be an underwriter and will be identified in the applicable prospectus supplement. In addition, we may otherwise loan or pledge securities to a financial institution or other third party that in turn may sell the securities short using this prospectus. The financial institution or other third party may transfer its economic short position to investors in our securities or in connection with a concurrent offering of other securities.</w:t>
      </w:r>
    </w:p>
    <w:p>
      <w:pPr>
        <w:spacing w:after="0" w:line="13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will file a prospectus supplement to describe the terms of any offering of our securities covered by this prospectus. The prospectus supplement will disclose:</w:t>
      </w:r>
    </w:p>
    <w:p>
      <w:pPr>
        <w:spacing w:after="0" w:line="108"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including any managing underwriters, as well as any dealers or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from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from the sale of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or other options under which underwriters, if any, may purchase additional securities from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or other items constituting underwriters’ compensation, and any commissions paid to agents;</w:t>
      </w:r>
    </w:p>
    <w:p>
      <w:pPr>
        <w:spacing w:after="0" w:line="17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subscription rights offering, whether we have engaged dealer-managers to facilitate the offering or subscription, including their name or names and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17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sectPr>
      </w:pPr>
    </w:p>
    <w:bookmarkStart w:id="86" w:name="page87"/>
    <w:bookmarkEnd w:id="86"/>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summary sets forth certain material terms and provisions of our capital stock. This description also summarizes relevant provisions of the General Corporation Law of Delaware (the “DGCL”). The following description is a summary and does not purport to be a complete description of the rights and preferences of our capital stock. It is subject to, and qualified in its entirety by reference to, the applicable provisions of the DGCL and our third amended and restated certificate of incorporation, as amended (our “Amended and Restated Certificate of Incorporation”) and our restated bylaws (our “Bylaws”), each of which is incorporated by reference as an exhibit to the registration statement of which this prospectus forms a part. We encourage you to read our Amended and Certificate of Incorporation, our Bylaws and the applicable provisions of the DGCL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Class A common stock, $0.0001 par value per share, and 1,000,000 shares of preferred stock, $0.0001 par value per share.</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June 30, 2022, there were 379,896,799 shares of our Class A common stock outstanding, no shares of preferred stock outstanding and 21,994,972 warrants outstanding. The outstanding shares of our Class A common stock are duly authorized, validly issued, fully paid and non-assessable.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each share of our Class A common stock has the same relative rights and is identical in all respects to each other share of our Class A common stock. The rights, preferences and privileges of holders of our Class A common stock are subject to the rights, preferences and privileges of the holders of shares of any series of preferred stock that we have issued or may issue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or under our Amended and Restated Certificate of Incorporation, the holders of Class A common stock possess all voting power for the election of our directors and all other matters requiring stockholder action and are entitled to one vote per share on matters to be voted on by stockholders. The holders of Class A common stock shall at all times vote together as one class on all matters submitted to a vote of the holders of Class A common stock under our Amended and Restated Certificate of Incorporation.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shares of preferred stock, under our Amended and Restated Certificate of Incorporation, holders of Class A common stock are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under our Amended and Restated Certificate of Incorporation, holders of Class A common stock will be entitled to receive all the remaining assets of the Company available for distribution to stockholders, ratably in proportion to the number of shares of Class A common stock held by them, after the rights of the holders of the preferred stock have been satisfied.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stockholders have no preemptive or other subscription rights and there are no sinking fund or redemption provisions applicable to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1440" w:right="379" w:bottom="1440" w:gutter="0" w:footer="0" w:header="0"/>
        </w:sectPr>
      </w:pPr>
    </w:p>
    <w:bookmarkStart w:id="87" w:name="page88"/>
    <w:bookmarkEnd w:id="8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a classified board of directors with staggered three-year terms, consisting of the three classes: Class I, Class II and Class III. The term of the Class I Directors will expire at our 2025 annual meeting of the stockholders, the term of the Class II Directors will expire at our 2023 annual meeting of the stockholders and the term of the Class III Directors will expire at our 2024 annual meeting of the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Class A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Amended and Restated Certificate of Incorporation and Bylaws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Provisions of the DGCL and our Amended and Restated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Class A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 for certain other provisions that may have an anti-takeover effect:</w:t>
      </w:r>
    </w:p>
    <w:p>
      <w:pPr>
        <w:spacing w:after="0" w:line="171"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cumulative voting with respect to the election of directors.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empowered to elect a director to fill a vacancy created by the expansion of the Board or the resignation, death, or removal of a director in certain circumstances.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only be removed from the Board for cause.</w:t>
      </w:r>
    </w:p>
    <w:p>
      <w:pPr>
        <w:spacing w:after="0" w:line="171"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07"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85"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88" w:name="page89"/>
    <w:bookmarkEnd w:id="88"/>
    <w:p>
      <w:pPr>
        <w:spacing w:after="0" w:line="140" w:lineRule="exact"/>
        <w:rPr>
          <w:sz w:val="20"/>
          <w:szCs w:val="20"/>
          <w:color w:val="auto"/>
        </w:rPr>
      </w:pPr>
    </w:p>
    <w:p>
      <w:pPr>
        <w:ind w:left="660" w:right="180"/>
        <w:spacing w:after="0" w:line="261" w:lineRule="auto"/>
        <w:rPr>
          <w:sz w:val="20"/>
          <w:szCs w:val="20"/>
          <w:color w:val="auto"/>
        </w:rPr>
      </w:pPr>
      <w:r>
        <w:rPr>
          <w:rFonts w:ascii="Times New Roman" w:cs="Times New Roman" w:eastAsia="Times New Roman" w:hAnsi="Times New Roman"/>
          <w:sz w:val="18"/>
          <w:szCs w:val="18"/>
          <w:color w:val="auto"/>
        </w:rPr>
        <w:t>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Class A common stock and preferred stock could render more difficult or discourage an attempt to obtain control of us by means of a proxy contest, tender offer, merger or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includes a forum selection clause. Our Amended and Restated Certificate of Incorporation provides that, subject to limited exceptions, the Court of Chancery of the State of Delaware and federal court within the State of Delaware will be exclusive forums for any:</w:t>
      </w:r>
    </w:p>
    <w:p>
      <w:pPr>
        <w:spacing w:after="0" w:line="12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of our directors, officers, stockholders, employees or agents to us or our stockholders;</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us or any of our directors, officers, stockholders, employees or agents arising pursuant to any provision of the DGCL, our Amended and Restated Certificate of Incorporation or Bylaws or as to which the DGCL confers jurisdiction on the Court of Chancery of the State of Delaware;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interpret, apply, enforce or determine the validity of our Amended and Restated Certificate of Incorporation or the Bylaws; or</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or any of our directors, officers, stockholders, employees or agents that is governed by the internal affairs doctrine.</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transfer agent for our Class A common stock is Continental Stock Transfer &amp; Trust Company. We have agreed to indemnify Continental Stock Transfer &amp;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traded on The Nasdaq Global Select Market under the symbol “SMFR.”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89" w:name="page90"/>
    <w:bookmarkEnd w:id="8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which we refer to as the “base indenture,” and supplemental indentures and forms of debt securities containing the terms of the debt securities being offered and sold will be filed as exhibits to the registration statement and/or will be incorporated by reference from reports that we file with the SEC. The actual base indenture we enter into in connection with an offering of debt securities may differ significantly from the form of base indenture we have filed. The base indenture, as amended or supplemented from time to time by one or more supplemental indentures, is referred to below collectively as the “indenture.” The indenture will be subject to and governed by the terms of the Trust Indenture Act of 1939.</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under this prospectus up to an aggregate principal amount of $300,000,000 in debt securities, or if debt securities are issued at a discount,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foreign currency, foreign currency units or composite currency, the principal amount as may be sold for an aggregate public offering price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$300,000,000. Unless otherwise specified in the applicable prospectus supplement, the debt securities will represent our direct, unsecured 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rank equally with all of our other unsecured indebtedness.</w:t>
      </w:r>
    </w:p>
    <w:p>
      <w:pPr>
        <w:spacing w:after="0" w:line="15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w:t>
      </w:r>
    </w:p>
    <w:p>
      <w:pPr>
        <w:spacing w:after="0" w:line="126"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if a series, the total amount authorized and the total amount outstanding;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if any, will be payable and any regular record date for the interest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denominations of $1,000 or any integral multiple of that number;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securities (as described below) or global securities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40" w:lineRule="exact"/>
        <w:rPr>
          <w:sz w:val="20"/>
          <w:szCs w:val="20"/>
          <w:color w:val="auto"/>
        </w:rPr>
      </w:pPr>
    </w:p>
    <w:p>
      <w:pPr>
        <w:ind w:left="660" w:right="10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and/or the acceleration provisions described in this prospectus or in the base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if not otherwise described below under “Events of Default”;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shares of our Class A common stock or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our other indebtedness.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Debt securities offered under this prospectus and any prospectus supplement may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Registrar and Paying Agent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1440" w:right="379" w:bottom="1440" w:gutter="0" w:footer="0" w:header="0"/>
        </w:sectPr>
      </w:pPr>
    </w:p>
    <w:bookmarkStart w:id="91" w:name="page92"/>
    <w:bookmarkEnd w:id="9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shares of our Class A common stock. The terms and conditions of conversion or exchange will be stated in the applicable prospectus supplement. The terms will include, among others, the following:</w:t>
      </w:r>
    </w:p>
    <w:p>
      <w:pPr>
        <w:spacing w:after="0" w:line="108"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the convertibility or exchangeability of the debt securities, including who may convert or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if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Change of Control</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base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form of base indenture provides that we will not consolidate with or merge into any other person or convey, transfer, sell or lease our properties and assets substantially as an entirety to any person, unless:</w:t>
      </w:r>
    </w:p>
    <w:p>
      <w:pPr>
        <w:spacing w:after="0" w:line="108" w:lineRule="exact"/>
        <w:rPr>
          <w:sz w:val="20"/>
          <w:szCs w:val="20"/>
          <w:color w:val="auto"/>
        </w:rPr>
      </w:pPr>
    </w:p>
    <w:p>
      <w:pPr>
        <w:jc w:val="both"/>
        <w:ind w:left="660" w:right="60" w:hanging="328"/>
        <w:spacing w:after="0" w:line="26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1440" w:right="379" w:bottom="1440" w:gutter="0" w:footer="0" w:header="0"/>
        </w:sectPr>
      </w:pPr>
    </w:p>
    <w:bookmarkStart w:id="92" w:name="page93"/>
    <w:bookmarkEnd w:id="92"/>
    <w:p>
      <w:pPr>
        <w:spacing w:after="0" w:line="140"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including the payment of the principal of and, premium, if any, and interest on the debt securities and the performance of the other covenants under the indenture; and</w:t>
      </w:r>
    </w:p>
    <w:p>
      <w:pPr>
        <w:spacing w:after="0" w:line="108" w:lineRule="exact"/>
        <w:rPr>
          <w:sz w:val="20"/>
          <w:szCs w:val="20"/>
          <w:color w:val="auto"/>
        </w:rPr>
      </w:pPr>
    </w:p>
    <w:p>
      <w:pPr>
        <w:ind w:left="660" w:right="32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following events will be events of default under the indenture with respect to debt securities of any series:</w:t>
      </w:r>
    </w:p>
    <w:p>
      <w:pPr>
        <w:spacing w:after="0" w:line="108"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premium, if any, when it becomes due;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interest within 30 days after it becomes due;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in the debt securities or the indenture for 90 days after written notice specifying the failure from the trustee or the holders of not less than 25% in aggregate principal amount of the outstanding debt securities of that series;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us or any of our significant subsidiaries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133"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accelerated principal, premium or interest) have been cured or waived;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interest on overdue interest and overdue principal has been paid;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rescission would not conflict with any judgment or decree.</w:t>
      </w:r>
    </w:p>
    <w:p>
      <w:pPr>
        <w:spacing w:after="0" w:line="17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 series will have the right to waive any existing default or compliance with any provision of the indenture or the debt securities of that series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1440" w:right="459" w:bottom="1440" w:gutter="0" w:footer="0" w:header="0"/>
        </w:sectPr>
      </w:pPr>
    </w:p>
    <w:bookmarkStart w:id="93" w:name="page94"/>
    <w:bookmarkEnd w:id="93"/>
    <w:p>
      <w:pPr>
        <w:spacing w:after="0" w:line="1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 direct the time, method and place of conducting any proceeding for any remedy available to the trustee, subject to certain limitations specified in the indenture.</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 series will have any right to institute any proceeding with respect to the indenture or for any remedy under the indenture, unless:</w:t>
      </w:r>
    </w:p>
    <w:p>
      <w:pPr>
        <w:spacing w:after="0" w:line="108"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to the trustee written notice of a continuing event of default;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institute a proceeding within 60 days after such request; and</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These limitations do not, however, apply to a suit instituted for payment on debt securities of any series on or after the due dates expressed in the debt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deliver certificates to the trustee regarding our compliance with our obligations under the indenture.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108" w:lineRule="exact"/>
        <w:rPr>
          <w:sz w:val="20"/>
          <w:szCs w:val="20"/>
          <w:color w:val="auto"/>
        </w:rPr>
      </w:pPr>
    </w:p>
    <w:p>
      <w:pPr>
        <w:ind w:left="660" w:right="54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surviving entity following a change of control permitted under the indenture will assume all of our obligations under the indenture and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certificated debt securities in addition to uncertificated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under the Trust Indenture Act of 1939;</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 or make any other change that does not materially and adversely affect the rights of any holder; and</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under the indenture with respect to one or more series.</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126"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 to the indenture or such debt security;</w:t>
      </w:r>
    </w:p>
    <w:p>
      <w:pPr>
        <w:spacing w:after="0" w:line="17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or reduce the amount of or postpone the date for payment of sinking fund or analogous obligations;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stated maturity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money other than that stated in the debt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40" w:right="379" w:bottom="1440" w:gutter="0" w:footer="0" w:header="0"/>
        </w:sectPr>
      </w:pPr>
    </w:p>
    <w:bookmarkStart w:id="94" w:name="page95"/>
    <w:bookmarkEnd w:id="94"/>
    <w:p>
      <w:pPr>
        <w:spacing w:after="0" w:line="140" w:lineRule="exact"/>
        <w:rPr>
          <w:sz w:val="20"/>
          <w:szCs w:val="20"/>
          <w:color w:val="auto"/>
        </w:rPr>
      </w:pPr>
    </w:p>
    <w:p>
      <w:pPr>
        <w:ind w:left="660" w:right="24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or time of any payment required or reduce the premium payable upon any redemption, or change the time before which no such redemption may be made;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if any, or interest on the debt securities or a redemption payment;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securities or change any provision with respect to redemption of debt securities;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otherwise prohibited by the indenture to be taken without the consent of each holder affected by the action.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108" w:lineRule="exact"/>
        <w:rPr>
          <w:sz w:val="20"/>
          <w:szCs w:val="20"/>
          <w:color w:val="auto"/>
        </w:rPr>
      </w:pPr>
    </w:p>
    <w:p>
      <w:pPr>
        <w:ind w:left="660" w:right="20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of our obligations with respect to any debt securities except for the following obligations (which discharge is referred to as “legal defeasance”):</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or exchange of such debt securities;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temporary or mutilated, destroyed, lost or stolen debt securities;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compensate and indemnify the trustee; or</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an office or agency in respect of the debt securities and to hold monies for payment in trust; or</w:t>
      </w:r>
    </w:p>
    <w:p>
      <w:pPr>
        <w:spacing w:after="0" w:line="17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5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released from our obligations with respect to the debt securities under certain covenants contained in the base indenture, as well as any additional covenants which may be contained in the applicable supplemental indenture (which release is referred to as “covenant defeasance”).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exercise either defeasance option, we must irrevocably deposit with the trustee or other qualifying trustee, in trust for that purpose:</w:t>
      </w:r>
    </w:p>
    <w:p>
      <w:pPr>
        <w:spacing w:after="0" w:line="171"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(as described below) or Foreign Government Obligations (as described below) that through the scheduled payment of principal and interest in accordance with their terms will provide money; or</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money and/or U.S. Government Obligations and/or Foreign Government Obligations sufficient in the written opinion of a nationally-recognized firm of independent accountants to provide money;</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defeasance may be effected only if, among other things:</w:t>
      </w:r>
    </w:p>
    <w:p>
      <w:pPr>
        <w:spacing w:after="0" w:line="171" w:lineRule="exact"/>
        <w:rPr>
          <w:sz w:val="20"/>
          <w:szCs w:val="20"/>
          <w:color w:val="auto"/>
        </w:rPr>
      </w:pPr>
    </w:p>
    <w:p>
      <w:pPr>
        <w:ind w:left="66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deliver to the trustee an opinion of counsel stating that we have received from, or there has been published by, the Internal Revenue Service a ruling to the effect that, or there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1440" w:right="459" w:bottom="1440" w:gutter="0" w:footer="0" w:header="0"/>
        </w:sectPr>
      </w:pPr>
    </w:p>
    <w:bookmarkStart w:id="95" w:name="page96"/>
    <w:bookmarkEnd w:id="95"/>
    <w:p>
      <w:pPr>
        <w:spacing w:after="0" w:line="140"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126" w:lineRule="exact"/>
        <w:rPr>
          <w:sz w:val="20"/>
          <w:szCs w:val="20"/>
          <w:color w:val="auto"/>
        </w:rPr>
      </w:pPr>
    </w:p>
    <w:p>
      <w:pPr>
        <w:ind w:left="660" w:right="80" w:hanging="328"/>
        <w:spacing w:after="0" w:line="261"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described in the indenture are satisfied.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comply with our remaining obligations under the base indenture and applicable supplemental indenture after a covenant defeasance of the base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12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indenture and the debt securities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139"/>
          </w:cols>
          <w:pgMar w:left="320" w:top="1440" w:right="1440" w:bottom="1440" w:gutter="0" w:footer="0" w:header="0"/>
        </w:sectPr>
      </w:pPr>
    </w:p>
    <w:bookmarkStart w:id="97" w:name="page98"/>
    <w:bookmarkEnd w:id="9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summary sets forth certain material terms and provisions of our outstanding warrants to purchase 14,758,305 shares of Class A common stock that we issued in our IPO (the “public warrants”), our outstanding warrants to purchase 7,236,667 shares of Class A common stock that we issued in a private placement in connection with our IPO (the “private placement warrants”) and the warrant agreement governing our public warrants and our private placement warrants (the “warrant agreement”), which is incorporated by reference as an exhibit to the registration statement of which this prospectus forms a part. In addition, the following summary sets forth certain terms and provisions of the additional warrants we may offer pursuant to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our Class A common stock at a price of $11.50 per whole share, subject to adjustment as discussed below, at any time commencing on September 4, 2021. Pursuant to the warrant agreement, a warrant holder may exercise its public warrants only for a whole number of shares of Class A common stock. This means that only a whole public warrant may be exercised at any given time by a warrant holder. No fractional public warrants will be issued upon separation of the units and only whole public warrants will trade. The public warrants will expire September 4, 2026, at 5:00 p.m., New York City time, or earlier upon redemption or liquidation.</w:t>
      </w:r>
    </w:p>
    <w:p>
      <w:pPr>
        <w:spacing w:after="0" w:line="12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We are not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$18.00 - </w:t>
      </w:r>
      <w:r>
        <w:rPr>
          <w:rFonts w:ascii="Times New Roman" w:cs="Times New Roman" w:eastAsia="Times New Roman" w:hAnsi="Times New Roman"/>
          <w:sz w:val="18"/>
          <w:szCs w:val="18"/>
          <w:color w:val="auto"/>
        </w:rPr>
        <w:t>We may redeem the outstanding public warrants:</w:t>
      </w:r>
    </w:p>
    <w:p>
      <w:pPr>
        <w:spacing w:after="0" w:line="173"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its redemption right even if we are unable to register or qualify the underlying securities for sale under all applicable state securities laws.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$10.00 </w:t>
      </w:r>
      <w:r>
        <w:rPr>
          <w:rFonts w:ascii="Times New Roman" w:cs="Times New Roman" w:eastAsia="Times New Roman" w:hAnsi="Times New Roman"/>
          <w:sz w:val="18"/>
          <w:szCs w:val="18"/>
          <w:color w:val="auto"/>
        </w:rPr>
        <w:t>– We may redeem the outstanding warrants:</w:t>
      </w:r>
    </w:p>
    <w:p>
      <w:pPr>
        <w:spacing w:after="0" w:line="173"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440" w:right="359" w:bottom="1440" w:gutter="0" w:footer="0" w:header="0"/>
        </w:sectPr>
      </w:pPr>
    </w:p>
    <w:bookmarkStart w:id="98" w:name="page99"/>
    <w:bookmarkEnd w:id="98"/>
    <w:p>
      <w:pPr>
        <w:spacing w:after="0" w:line="140" w:lineRule="exact"/>
        <w:rPr>
          <w:sz w:val="20"/>
          <w:szCs w:val="20"/>
          <w:color w:val="auto"/>
        </w:rPr>
      </w:pPr>
    </w:p>
    <w:p>
      <w:pPr>
        <w:ind w:left="660" w:right="16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we send notice of redemption to the warrant holders is less than $18.00 per share (as adjusted), the private placement warrants must also be concurrently called for redemption on the same terms as the outstanding public warrants, as described above.</w:t>
      </w:r>
    </w:p>
    <w:p>
      <w:pPr>
        <w:spacing w:after="0" w:line="122"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Class A common stock may fall below the $18.00 redemption trigger price as well as the $11.50 warrant exercise price after the redemption notice is issued.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the exercise of our public warrants. If our management takes advantage of this option, all holders of public warrants would pay the exercise price by surrendering their public warrants for that number of shares of Class A common stock equal to the quotient obtained by dividing (i) the product of the number of shares of Class A common stock underlying the public warrants, multiplied by the difference between the exercise price of the public warrants and the “fair market value” (defined below) by (ii) the fair market value. The “fair market value” shall mean the average reported last sale price of the Class A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our public warrants for redemption and our management does not take advantage of this option, the Former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4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spacing w:after="0" w:line="1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shares of Class A common stock is increased by a stock dividend payable in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by a split-up of shares of Class A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minus the quotient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of (a) the price per share of Class A common stock paid in such rights offering divided by (b)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Class A common stock on account of such shares of Class A common stock (or other shares of our capital stock into which the public warrants are convertible), other than (i) as described above; or (ii)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2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of which this prospectus forms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Class A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warrant holder. As a result, warrant holders not purchasing public warrants in multiples of three warrants will not obtain value from the fractional interest that will not be issued.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(1) the private placement warrants are exercisable on a cashless basis, (2) the private placement warrants are non-redeemable (except as described above in “Redemption of Warrants When the Price per Share of Class A Common Stock Equals or Exceeds $10.00”) so long as they are held by the initial purchasers or their permitted transferees, and (3)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are redeemable by us and exercisable by such holders on the same basis as the public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agent for our public warrants and private placement warrants is Continental Stock Transfer &amp; Trust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Global Select Market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public warrants are traded on The Nasdaq Global Select Market under the symbol “SMFRW.”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Warrants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we may issue additional warrants for the purchase of our debt securities, preferred stock, Class A common stock, or any combination thereof. Warrants may be issued independently or together with our debt securities, preferred stock or Class A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Warrants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purchase debt securities will describe the terms of the debt warrants, including the following:</w:t>
      </w:r>
    </w:p>
    <w:p>
      <w:pPr>
        <w:spacing w:after="0" w:line="108"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debt warrants,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440" w:right="379" w:bottom="1440" w:gutter="0" w:footer="0" w:header="0"/>
        </w:sectPr>
      </w:pPr>
    </w:p>
    <w:bookmarkStart w:id="101" w:name="page102"/>
    <w:bookmarkEnd w:id="101"/>
    <w:p>
      <w:pPr>
        <w:spacing w:after="0" w:line="140"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including any conversion rights, purchasable upon exercise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debt warrants and any debt securities issued with them will be separately transferable;</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will commence and expire;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debt warrants that may be exercised at any one time;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debt warrants,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debt warrants upon a change in control or similar event; and</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procedures and limitations relating to the exchange, exercise, and settlement of the debt warrants.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Warrants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our Class A common stock or preferred stock will describe the terms of the warrants, including the following:</w:t>
      </w:r>
    </w:p>
    <w:p>
      <w:pPr>
        <w:spacing w:after="0" w:line="108"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Class A common stock or preferred stock that may be purchased upon exercise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60"/>
          </w:cols>
          <w:pgMar w:left="320" w:top="1440" w:right="419" w:bottom="1440" w:gutter="0" w:footer="0" w:header="0"/>
        </w:sectPr>
      </w:pPr>
    </w:p>
    <w:bookmarkStart w:id="102" w:name="page103"/>
    <w:bookmarkEnd w:id="102"/>
    <w:p>
      <w:pPr>
        <w:spacing w:after="0" w:line="140" w:lineRule="exact"/>
        <w:rPr>
          <w:sz w:val="20"/>
          <w:szCs w:val="20"/>
          <w:color w:val="auto"/>
        </w:rPr>
      </w:pPr>
    </w:p>
    <w:p>
      <w:pPr>
        <w:ind w:left="540" w:hanging="328"/>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71" w:lineRule="exact"/>
        <w:rPr>
          <w:rFonts w:ascii="Times New Roman" w:cs="Times New Roman" w:eastAsia="Times New Roman" w:hAnsi="Times New Roman"/>
          <w:sz w:val="18"/>
          <w:szCs w:val="18"/>
          <w:color w:val="auto"/>
        </w:rPr>
      </w:pPr>
    </w:p>
    <w:p>
      <w:pPr>
        <w:ind w:left="540" w:hanging="328"/>
        <w:spacing w:after="0" w:line="282" w:lineRule="auto"/>
        <w:tabs>
          <w:tab w:leader="none" w:pos="5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or preferred stock that may be purchased upon exercise of a warrant and the exercise price for the warrants;</w:t>
      </w:r>
    </w:p>
    <w:p>
      <w:pPr>
        <w:spacing w:after="0" w:line="107"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a holder’s right to require us to repurchase the warrants upon a change in control or similar event; and</w:t>
      </w:r>
    </w:p>
    <w:p>
      <w:pPr>
        <w:spacing w:after="0" w:line="171" w:lineRule="exact"/>
        <w:rPr>
          <w:rFonts w:ascii="Times New Roman" w:cs="Times New Roman" w:eastAsia="Times New Roman" w:hAnsi="Times New Roman"/>
          <w:sz w:val="18"/>
          <w:szCs w:val="18"/>
          <w:color w:val="auto"/>
        </w:rPr>
      </w:pPr>
    </w:p>
    <w:p>
      <w:pPr>
        <w:ind w:left="-120" w:right="440" w:firstLine="332"/>
        <w:spacing w:after="0" w:line="438" w:lineRule="auto"/>
        <w:tabs>
          <w:tab w:leader="none" w:pos="52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 Holders of equity warrants will not be entitled to:</w:t>
      </w:r>
    </w:p>
    <w:p>
      <w:pPr>
        <w:ind w:left="540" w:hanging="328"/>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1440" w:right="459" w:bottom="1440" w:gutter="0" w:footer="0" w:header="0"/>
        </w:sectPr>
      </w:pPr>
    </w:p>
    <w:bookmarkStart w:id="103" w:name="page104"/>
    <w:bookmarkEnd w:id="103"/>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Class A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08"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Class A common stock, preferred stock or debt securities upon the exercise of the subscription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Class A common stock, preferred stock or debt securities which may be purchased per each subscription right;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80"/>
          </w:cols>
          <w:pgMar w:left="320" w:top="1440" w:right="399" w:bottom="1440" w:gutter="0" w:footer="0" w:header="0"/>
        </w:sectPr>
      </w:pPr>
    </w:p>
    <w:bookmarkStart w:id="104" w:name="page105"/>
    <w:bookmarkEnd w:id="104"/>
    <w:p>
      <w:pPr>
        <w:spacing w:after="0" w:line="1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some or all of the securities described above, in any combination, including Class A common stock, preferred stock, warrants and/or debt securities. The terms of these units will be set forth in a prospectus supplement. The description of the terms of these units in the applicable prospectus supplement will not be complete. You should refer to the applicable form of unit and unit agreement for complete information with respect to these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1440" w:right="539" w:bottom="1440" w:gutter="0" w:footer="0" w:header="0"/>
        </w:sectPr>
      </w:pPr>
    </w:p>
    <w:bookmarkStart w:id="105" w:name="page106"/>
    <w:bookmarkEnd w:id="105"/>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Fenwick &amp; West LLP, New York, New York, will issue an opinion about certain legal matters with respect to the securities. Any underwriters or agents will be advised about legal matters relating to any offering by their own counsel.</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Sema4 Holdings Corp. appearing in Sema4 Holdings Corp.’s Annual Report (Form 10-K) for the year ended December 31, 2021,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combined carve out financial statements of GeneDx, Inc. and subsidiary at December 31, 2021 and 2020, and for each of the two years in the period ended December 31, 2021, included in the Proxy Statement of Sema4 Holdings Corp. dated March 31, 2022, incorporated by reference in this Prospectus and Registration Statement have been audited by Ernst &amp; Young LLP, independent auditors, as set forth in their report thereon, and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2745740</wp:posOffset>
            </wp:positionH>
            <wp:positionV relativeFrom="page">
              <wp:posOffset>1520190</wp:posOffset>
            </wp:positionV>
            <wp:extent cx="2065655"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0656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Shares of Class A Common Stock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490220</wp:posOffset>
            </wp:positionV>
            <wp:extent cx="1517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144780</wp:posOffset>
            </wp:positionV>
            <wp:extent cx="1517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3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471805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decimal"/>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lvl w:ilvl="1">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1)"/>
      <w:numFmt w:val="upperLetter"/>
      <w:start w:val="1"/>
    </w:lvl>
  </w:abstractNum>
  <w:abstractNum w:abstractNumId="13">
    <w:nsid w:val="57E4CCAF"/>
    <w:multiLevelType w:val="hybridMultilevel"/>
    <w:lvl w:ilvl="0">
      <w:lvlJc w:val="left"/>
      <w:lvlText w:val="(%1)"/>
      <w:numFmt w:val="upperLetter"/>
      <w:start w:val="6"/>
    </w:lvl>
  </w:abstractNum>
  <w:abstractNum w:abstractNumId="14">
    <w:nsid w:val="7A6D8D3C"/>
    <w:multiLevelType w:val="hybridMultilevel"/>
    <w:lvl w:ilvl="0">
      <w:lvlJc w:val="left"/>
      <w:lvlText w:val="(%1)"/>
      <w:numFmt w:val="upperLetter"/>
      <w:start w:val="1"/>
    </w:lvl>
  </w:abstractNum>
  <w:abstractNum w:abstractNumId="15">
    <w:nsid w:val="4B588F54"/>
    <w:multiLevelType w:val="hybridMultilevel"/>
    <w:lvl w:ilvl="0">
      <w:lvlJc w:val="left"/>
      <w:lvlText w:val="(%1)"/>
      <w:numFmt w:val="upperLetter"/>
      <w:start w:val="5"/>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endash "/>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lvl w:ilvl="1">
      <w:lvlJc w:val="left"/>
      <w:lvlText w:val="◦"/>
      <w:numFmt w:val="bullet"/>
      <w:start w:val="1"/>
    </w:lvl>
  </w:abstractNum>
  <w:abstractNum w:abstractNumId="27">
    <w:nsid w:val="75C6C33A"/>
    <w:multiLevelType w:val="hybridMultilevel"/>
    <w:lvl w:ilvl="0">
      <w:lvlJc w:val="left"/>
      <w:lvlText w:val="•"/>
      <w:numFmt w:val="bullet"/>
      <w:start w:val="1"/>
    </w:lvl>
    <w:lvl w:ilvl="1">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1."/>
      <w:numFmt w:val="upperLetter"/>
      <w:start w:val="1"/>
    </w:lvl>
  </w:abstractNum>
  <w:abstractNum w:abstractNumId="36">
    <w:nsid w:val="39386575"/>
    <w:multiLevelType w:val="hybridMultilevel"/>
    <w:lvl w:ilvl="0">
      <w:lvlJc w:val="left"/>
      <w:lvlText w:val="%1."/>
      <w:numFmt w:val="upperLetter"/>
      <w:start w:val="1"/>
    </w:lvl>
    <w:lvl w:ilvl="1">
      <w:lvlJc w:val="left"/>
      <w:lvlText w:val="(%2)"/>
      <w:numFmt w:val="lowerRoman"/>
      <w:start w:val="1"/>
    </w:lvl>
  </w:abstractNum>
  <w:abstractNum w:abstractNumId="37">
    <w:nsid w:val="1CF10FD8"/>
    <w:multiLevelType w:val="hybridMultilevel"/>
    <w:lvl w:ilvl="0">
      <w:lvlJc w:val="left"/>
      <w:lvlText w:val="(%1)"/>
      <w:numFmt w:val="lowerRoman"/>
      <w:start w:val="11"/>
    </w:lvl>
  </w:abstractNum>
  <w:abstractNum w:abstractNumId="38">
    <w:nsid w:val="180115BE"/>
    <w:multiLevelType w:val="hybridMultilevel"/>
    <w:lvl w:ilvl="0">
      <w:lvlJc w:val="left"/>
      <w:lvlText w:val="%1."/>
      <w:numFmt w:val="upperLetter"/>
      <w:start w:val="2"/>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upperLetter"/>
      <w:start w:val="2"/>
    </w:lvl>
    <w:lvl w:ilvl="1">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lvl w:ilvl="1">
      <w:lvlJc w:val="left"/>
      <w:lvlText w:val="%2."/>
      <w:numFmt w:val="decimal"/>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34" Type="http://schemas.openxmlformats.org/officeDocument/2006/relationships/image" Target="media/image12.jpe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jpe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19" Type="http://schemas.openxmlformats.org/officeDocument/2006/relationships/hyperlink" Target="https://www.sec.gov/ix?doc=/Archives/edgar/data/1818331/000181833122000037/cmlf-20211231.htm" TargetMode="External"/><Relationship Id="rId20" Type="http://schemas.openxmlformats.org/officeDocument/2006/relationships/hyperlink" Target="https://www.sec.gov/ix?doc=/Archives/edgar/data/1818331/000181833122000046/cmlf-20220331.htm" TargetMode="External"/><Relationship Id="rId21" Type="http://schemas.openxmlformats.org/officeDocument/2006/relationships/hyperlink" Target="https://www.sec.gov/ix?doc=/Archives/edgar/data/1818331/000181833122000069/cmlf-20220630.htm" TargetMode="External"/><Relationship Id="rId22" Type="http://schemas.openxmlformats.org/officeDocument/2006/relationships/hyperlink" Target="https://www.sec.gov/ix?doc=/Archives/edgar/data/1818331/000181833122000078/cmlf-20220930.htm" TargetMode="External"/><Relationship Id="rId23" Type="http://schemas.openxmlformats.org/officeDocument/2006/relationships/hyperlink" Target="https://www.sec.gov/ix?doc=/Archives/edgar/data/0001818331/000181833122000010/smfr-20220114.htm" TargetMode="External"/><Relationship Id="rId24" Type="http://schemas.openxmlformats.org/officeDocument/2006/relationships/hyperlink" Target="https://www.sec.gov/ix?doc=/Archives/edgar/data/0001818331/000162828022010817/smfr-20220427.htm" TargetMode="External"/><Relationship Id="rId25" Type="http://schemas.openxmlformats.org/officeDocument/2006/relationships/hyperlink" Target="https://www.sec.gov/ix?doc=/Archives/edgar/data/0001818331/000162828022011605/smfr-20220429.htm" TargetMode="External"/><Relationship Id="rId26" Type="http://schemas.openxmlformats.org/officeDocument/2006/relationships/hyperlink" Target="https://www.sec.gov/ix?doc=/Archives/edgar/data/1818331/000181833122000053/smfr-20220610.htm" TargetMode="External"/><Relationship Id="rId27" Type="http://schemas.openxmlformats.org/officeDocument/2006/relationships/hyperlink" Target="https://www.sec.gov/ix?doc=/Archives/edgar/data/1818331/000181833122000060/smfr-20220627.htm" TargetMode="External"/><Relationship Id="rId28" Type="http://schemas.openxmlformats.org/officeDocument/2006/relationships/hyperlink" Target="https://www.sec.gov/ix?doc=/Archives/edgar/data/0001818331/000162828022023779/smfr-20220825.htm" TargetMode="External"/><Relationship Id="rId29" Type="http://schemas.openxmlformats.org/officeDocument/2006/relationships/hyperlink" Target="https://www.sec.gov/ix?doc=/Archives/edgar/data/0001818331/000181833122000075/smfr-20221111.htm" TargetMode="External"/><Relationship Id="rId30" Type="http://schemas.openxmlformats.org/officeDocument/2006/relationships/hyperlink" Target="https://www.sec.gov/ix?doc=/Archives/edgar/data/0001818331/000181833122000080/smfr-20221228.htm" TargetMode="External"/><Relationship Id="rId31" Type="http://schemas.openxmlformats.org/officeDocument/2006/relationships/hyperlink" Target="https://www.sec.gov/ix?doc=/Archives/edgar/data/0001818331/000181833123000006/smfr-20230109.htm" TargetMode="External"/><Relationship Id="rId32" Type="http://schemas.openxmlformats.org/officeDocument/2006/relationships/hyperlink" Target="https://www.sec.gov/Archives/edgar/data/1818331/000162828022008073/sema4-2022finalproxy.htm#i9dc8683d5f754346aae9d53d48e80fdd_1049" TargetMode="External"/><Relationship Id="rId33" Type="http://schemas.openxmlformats.org/officeDocument/2006/relationships/hyperlink" Target="https://www.sec.gov/Archives/edgar/data/0001818331/000121390020024549/ea126225-8a12b_cmlifescie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2023-01-26T17:19:16Z</dcterms:created>
  <dcterms:modified xsi:type="dcterms:W3CDTF">2023-01-26T17:19:16Z</dcterms:modified>
</cp:coreProperties>
</file>