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GENEDX HOLDINGS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81663L200</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81663L200</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GOLDMAN SACHS GROUP,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1,105,042.61</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1,106,677.61</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1,106,751.61</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81663L200</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GOLDMAN SACHS &amp; CO.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1,105,042.61</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1,106,677.61</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1,106,751.61</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GENEDX HOLDINGS CORP.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333 Ludlow Street, North Tower, 6th Floor, Stamford, X1, 06902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GOLDMAN SACHS GROUP, INC.| GOLDMAN SACHS &amp; CO. LLC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Goldman Sachs Group, Inc. 200 West Street New York, NY 10282| Goldman Sachs &amp; Co. LLC 200 West Street New York, NY 10282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THE GOLDMAN SACHS GROUP, INC. - Delaware| GOLDMAN SACHS &amp; CO. LLC - New York</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jc w:val="left"/>
              <w:rPr/>
            </w:pPr>
            <w:r>
              <w:rPr/>
              <w:t xml:space="preserve">CUSIP No.: </w:t>
            </w:r>
          </w:p>
          <w:p>
            <w:pPr>
              <w:pStyle w:val="TableContents"/>
              <w:bidi w:val="0"/>
              <w:spacing w:before="0" w:after="0"/>
              <w:jc w:val="left"/>
              <w:rPr/>
            </w:pPr>
            <w:r>
              <w:rPr/>
              <w:t>81663L200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THE GOLDMAN SACHS GROUP, INC.</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95"/>
        <w:gridCol w:w="4110"/>
      </w:tblGrid>
      <w:tr>
        <w:trPr/>
        <w:tc>
          <w:tcPr>
            <w:tcW w:w="60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Name: AMEEN SOETAN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Attorney-in-fact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04/02/2025</w:t>
                  </w:r>
                </w:p>
              </w:tc>
            </w:tr>
          </w:tbl>
          <w:p>
            <w:pPr>
              <w:pStyle w:val="TableContents"/>
              <w:bidi w:val="0"/>
              <w:spacing w:before="0" w:after="283"/>
              <w:jc w:val="left"/>
              <w:rPr/>
            </w:pPr>
            <w:r>
              <w:rPr/>
            </w:r>
          </w:p>
        </w:tc>
        <w:tc>
          <w:tcPr>
            <w:tcW w:w="4110" w:type="dxa"/>
            <w:tcBorders/>
            <w:vAlign w:val="center"/>
          </w:tcPr>
          <w:p>
            <w:pPr>
              <w:pStyle w:val="TableContents"/>
              <w:bidi w:val="0"/>
              <w:spacing w:before="0" w:after="283"/>
              <w:jc w:val="left"/>
              <w:rPr>
                <w:sz w:val="4"/>
                <w:szCs w:val="4"/>
              </w:rPr>
            </w:pPr>
            <w:r>
              <w:rPr>
                <w:sz w:val="4"/>
                <w:szCs w:val="4"/>
              </w:rPr>
            </w:r>
          </w:p>
        </w:tc>
      </w:tr>
    </w:tbl>
    <w:tbl>
      <w:tblPr>
        <w:tblW w:w="7242" w:type="dxa"/>
        <w:jc w:val="left"/>
        <w:tblInd w:w="0" w:type="dxa"/>
        <w:tblLayout w:type="fixed"/>
        <w:tblCellMar>
          <w:top w:w="28" w:type="dxa"/>
          <w:left w:w="28" w:type="dxa"/>
          <w:bottom w:w="28" w:type="dxa"/>
          <w:right w:w="28" w:type="dxa"/>
        </w:tblCellMar>
      </w:tblPr>
      <w:tblGrid>
        <w:gridCol w:w="3621"/>
        <w:gridCol w:w="3621"/>
      </w:tblGrid>
      <w:tr>
        <w:trPr/>
        <w:tc>
          <w:tcPr>
            <w:tcW w:w="3621" w:type="dxa"/>
            <w:tcBorders/>
            <w:vAlign w:val="center"/>
          </w:tcPr>
          <w:p>
            <w:pPr>
              <w:pStyle w:val="TableContents"/>
              <w:bidi w:val="0"/>
              <w:spacing w:before="0" w:after="0"/>
              <w:jc w:val="left"/>
              <w:rPr/>
            </w:pPr>
            <w:r>
              <w:rPr/>
              <w:t> </w:t>
            </w:r>
          </w:p>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0"/>
                    <w:jc w:val="left"/>
                    <w:rPr/>
                  </w:pPr>
                  <w:r>
                    <w:rPr/>
                    <w:t>GOLDMAN SACHS &amp; CO. LLC</w:t>
                  </w:r>
                </w:p>
              </w:tc>
            </w:tr>
          </w:tbl>
          <w:p>
            <w:pPr>
              <w:pStyle w:val="TableContents"/>
              <w:bidi w:val="0"/>
              <w:spacing w:before="0" w:after="283"/>
              <w:jc w:val="left"/>
              <w:rPr/>
            </w:pPr>
            <w:r>
              <w:rPr/>
            </w:r>
          </w:p>
        </w:tc>
        <w:tc>
          <w:tcPr>
            <w:tcW w:w="36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95"/>
        <w:gridCol w:w="4110"/>
      </w:tblGrid>
      <w:tr>
        <w:trPr/>
        <w:tc>
          <w:tcPr>
            <w:tcW w:w="60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Name: AMEEN SOETAN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Attorney-in-fact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04/02/2025</w:t>
                  </w:r>
                </w:p>
              </w:tc>
            </w:tr>
          </w:tbl>
          <w:p>
            <w:pPr>
              <w:pStyle w:val="TableContents"/>
              <w:bidi w:val="0"/>
              <w:spacing w:before="0" w:after="283"/>
              <w:jc w:val="left"/>
              <w:rPr/>
            </w:pPr>
            <w:r>
              <w:rPr/>
            </w:r>
          </w:p>
        </w:tc>
        <w:tc>
          <w:tcPr>
            <w:tcW w:w="41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(99.1) JOINT FILING AGREEMENT In accordance with Rule 13d-1(k)(1) promulgated under the Securities Exchange Act of 1934, the undersigned agree to the joint filing of a Statement on Schedule 13G (including any and all amendments thereto) with respect to the Class A common stock, par value $0.0001 per share, of GENEDX HOLDINGS CORP. and further agree to the filing of this agreement as an Exhibit thereto. In addition, each party to this Agreement expressly authorizes each other party to this Agreement to file on its behalf any and all amendments to such Statement on Schedule 13G. Date: 04/02/2025 THE GOLDMAN SACHS GROUP, INC. By:/s/ AMEEN SOETAN ---------------------------------------- Name: AMEEN SOETAN Title: Attorney-in-fact GOLDMAN SACHS &amp; CO. LLC By:/s/ AMEEN SOETAN ---------------------------------------- Name: AMEEN SOETAN Title: Attorney-in-fact EXHIBIT (99.2) ITEM 7 INFORMATION The securities being reported on by The Goldman 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 of GS Group. </w:t>
            </w:r>
          </w:p>
        </w:tc>
      </w:tr>
    </w:tbl>
    <w:p>
      <w:pPr>
        <w:pStyle w:val="PreformattedText"/>
        <w:bidi w:val="0"/>
        <w:jc w:val="left"/>
        <w:rPr/>
      </w:pPr>
      <w:bookmarkStart w:id="20" w:name="POA13G-1500100555_20250402.txt"/>
      <w:bookmarkStart w:id="21" w:name="ksPOA13G1500100555_20250402"/>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KNOW ALL PERSONS BY THESE PRESENTS that THE GOLDMAN SACHS GROUP, INC.</w:t>
      </w:r>
    </w:p>
    <w:p>
      <w:pPr>
        <w:pStyle w:val="PreformattedText"/>
        <w:bidi w:val="0"/>
        <w:spacing w:before="0" w:after="0"/>
        <w:jc w:val="left"/>
        <w:rPr/>
      </w:pPr>
      <w:r>
        <w:rPr/>
        <w:t>(the "Company") does hereby make, constitute and appoint Papa Lette,</w:t>
      </w:r>
    </w:p>
    <w:p>
      <w:pPr>
        <w:pStyle w:val="PreformattedText"/>
        <w:bidi w:val="0"/>
        <w:spacing w:before="0" w:after="0"/>
        <w:jc w:val="left"/>
        <w:rPr/>
      </w:pPr>
      <w:r>
        <w:rPr/>
        <w:t>Akash Keshari, Regina Chan, Andrzej Szyszka, Ameen Soetan, Rahail Patel,</w:t>
      </w:r>
    </w:p>
    <w:p>
      <w:pPr>
        <w:pStyle w:val="PreformattedText"/>
        <w:bidi w:val="0"/>
        <w:spacing w:before="0" w:after="0"/>
        <w:jc w:val="left"/>
        <w:rPr/>
      </w:pPr>
      <w:r>
        <w:rPr/>
        <w:t>Santosh Vinayagamoorthy, Sadhiya Raffique, Matthew Pomfret,</w:t>
      </w:r>
    </w:p>
    <w:p>
      <w:pPr>
        <w:pStyle w:val="PreformattedText"/>
        <w:bidi w:val="0"/>
        <w:spacing w:before="0" w:after="0"/>
        <w:jc w:val="left"/>
        <w:rPr/>
      </w:pPr>
      <w:r>
        <w:rPr/>
        <w:t>Abhishek Vishwanathan, Mariana Audeves, Veronica Mupazviriwo, Elizabeth Novak</w:t>
      </w:r>
    </w:p>
    <w:p>
      <w:pPr>
        <w:pStyle w:val="PreformattedText"/>
        <w:bidi w:val="0"/>
        <w:spacing w:before="0" w:after="0"/>
        <w:jc w:val="left"/>
        <w:rPr/>
      </w:pPr>
      <w:r>
        <w:rPr/>
        <w:t>and Sam Prashanth, acting individually, its true and lawful attorney,</w:t>
      </w:r>
    </w:p>
    <w:p>
      <w:pPr>
        <w:pStyle w:val="PreformattedText"/>
        <w:bidi w:val="0"/>
        <w:spacing w:before="0" w:after="0"/>
        <w:jc w:val="left"/>
        <w:rPr/>
      </w:pPr>
      <w:r>
        <w:rPr/>
        <w:t>to execute and deliver in its name and on its behalf, whether the Company</w:t>
      </w:r>
    </w:p>
    <w:p>
      <w:pPr>
        <w:pStyle w:val="PreformattedText"/>
        <w:bidi w:val="0"/>
        <w:spacing w:before="0" w:after="0"/>
        <w:jc w:val="left"/>
        <w:rPr/>
      </w:pPr>
      <w:r>
        <w:rPr/>
        <w:t>is acting individually or as representative of others, any and all filings</w:t>
      </w:r>
    </w:p>
    <w:p>
      <w:pPr>
        <w:pStyle w:val="PreformattedText"/>
        <w:bidi w:val="0"/>
        <w:spacing w:before="0" w:after="0"/>
        <w:jc w:val="left"/>
        <w:rPr/>
      </w:pPr>
      <w:r>
        <w:rPr/>
        <w:t>required to be made by the Company pursuant to Rule 13f-1or Regulation 13D-G</w:t>
      </w:r>
    </w:p>
    <w:p>
      <w:pPr>
        <w:pStyle w:val="PreformattedText"/>
        <w:bidi w:val="0"/>
        <w:spacing w:before="0" w:after="0"/>
        <w:jc w:val="left"/>
        <w:rPr/>
      </w:pPr>
      <w:r>
        <w:rPr/>
        <w:t>under the Securities Exchange Act of 1934, (as amended, the "Act"), which may</w:t>
      </w:r>
    </w:p>
    <w:p>
      <w:pPr>
        <w:pStyle w:val="PreformattedText"/>
        <w:bidi w:val="0"/>
        <w:spacing w:before="0" w:after="0"/>
        <w:jc w:val="left"/>
        <w:rPr/>
      </w:pPr>
      <w:r>
        <w:rPr/>
        <w:t>be required of the Company with respect to securities which may be deemed to be</w:t>
      </w:r>
    </w:p>
    <w:p>
      <w:pPr>
        <w:pStyle w:val="PreformattedText"/>
        <w:bidi w:val="0"/>
        <w:spacing w:before="0" w:after="0"/>
        <w:jc w:val="left"/>
        <w:rPr/>
      </w:pPr>
      <w:r>
        <w:rPr/>
        <w:t>beneficially owned by the Company under the Act, giving and granting unto each</w:t>
      </w:r>
    </w:p>
    <w:p>
      <w:pPr>
        <w:pStyle w:val="PreformattedText"/>
        <w:bidi w:val="0"/>
        <w:spacing w:before="0" w:after="0"/>
        <w:jc w:val="left"/>
        <w:rPr/>
      </w:pPr>
      <w:r>
        <w:rPr/>
        <w:t>said Attorney-in-fact  power and authority to act in the premises as fully</w:t>
      </w:r>
    </w:p>
    <w:p>
      <w:pPr>
        <w:pStyle w:val="PreformattedText"/>
        <w:bidi w:val="0"/>
        <w:spacing w:before="0" w:after="0"/>
        <w:jc w:val="left"/>
        <w:rPr/>
      </w:pPr>
      <w:r>
        <w:rPr/>
        <w:t>and to all intents and purposes as the Company might or could do if personally</w:t>
      </w:r>
    </w:p>
    <w:p>
      <w:pPr>
        <w:pStyle w:val="PreformattedText"/>
        <w:bidi w:val="0"/>
        <w:spacing w:before="0" w:after="0"/>
        <w:jc w:val="left"/>
        <w:rPr/>
      </w:pPr>
      <w:r>
        <w:rPr/>
        <w:t>present by one of its authorized signatories, hereby ratifying and confirming</w:t>
      </w:r>
    </w:p>
    <w:p>
      <w:pPr>
        <w:pStyle w:val="PreformattedText"/>
        <w:bidi w:val="0"/>
        <w:spacing w:before="0" w:after="0"/>
        <w:jc w:val="left"/>
        <w:rPr/>
      </w:pPr>
      <w:r>
        <w:rPr/>
        <w:t>all that said Attorney-in-fact shall lawfully do or cause to be done by virtue</w:t>
      </w:r>
    </w:p>
    <w:p>
      <w:pPr>
        <w:pStyle w:val="PreformattedText"/>
        <w:bidi w:val="0"/>
        <w:spacing w:before="0" w:after="0"/>
        <w:jc w:val="left"/>
        <w:rPr/>
      </w:pPr>
      <w:r>
        <w:rPr/>
        <w:t>hereof.</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w:t>
      </w:r>
    </w:p>
    <w:p>
      <w:pPr>
        <w:pStyle w:val="PreformattedText"/>
        <w:bidi w:val="0"/>
        <w:spacing w:before="0" w:after="0"/>
        <w:jc w:val="left"/>
        <w:rPr/>
      </w:pPr>
      <w:r>
        <w:rPr/>
        <w:t>July 29, 2025 unless earlier revoked by written instrument, or in the event an</w:t>
      </w:r>
    </w:p>
    <w:p>
      <w:pPr>
        <w:pStyle w:val="PreformattedText"/>
        <w:bidi w:val="0"/>
        <w:spacing w:before="0" w:after="0"/>
        <w:jc w:val="left"/>
        <w:rPr/>
      </w:pPr>
      <w:r>
        <w:rPr/>
        <w:t>Attorney-in-fact ceases to be an employee of The Goldman Sachs Group, Inc. or</w:t>
      </w:r>
    </w:p>
    <w:p>
      <w:pPr>
        <w:pStyle w:val="PreformattedText"/>
        <w:bidi w:val="0"/>
        <w:spacing w:before="0" w:after="0"/>
        <w:jc w:val="left"/>
        <w:rPr/>
      </w:pPr>
      <w:r>
        <w:rPr/>
        <w:t>one of its affiliates or ceases to perform the function in connection with</w:t>
      </w:r>
    </w:p>
    <w:p>
      <w:pPr>
        <w:pStyle w:val="PreformattedText"/>
        <w:bidi w:val="0"/>
        <w:spacing w:before="0" w:after="0"/>
        <w:jc w:val="left"/>
        <w:rPr/>
      </w:pPr>
      <w:r>
        <w:rPr/>
        <w:t>which he or she was appointed Attorney-in-fact prior to July 29, 2025, this</w:t>
      </w:r>
    </w:p>
    <w:p>
      <w:pPr>
        <w:pStyle w:val="PreformattedText"/>
        <w:bidi w:val="0"/>
        <w:spacing w:before="0" w:after="0"/>
        <w:jc w:val="left"/>
        <w:rPr/>
      </w:pPr>
      <w:r>
        <w:rPr/>
        <w:t>Power of Attorney shall cease to have effect in relation to such</w:t>
      </w:r>
    </w:p>
    <w:p>
      <w:pPr>
        <w:pStyle w:val="PreformattedText"/>
        <w:bidi w:val="0"/>
        <w:spacing w:before="0" w:after="0"/>
        <w:jc w:val="left"/>
        <w:rPr/>
      </w:pPr>
      <w:r>
        <w:rPr/>
        <w:t>Attorney-in-fact upon such cessation but shall continue in full force and</w:t>
      </w:r>
    </w:p>
    <w:p>
      <w:pPr>
        <w:pStyle w:val="PreformattedText"/>
        <w:bidi w:val="0"/>
        <w:spacing w:before="0" w:after="0"/>
        <w:jc w:val="left"/>
        <w:rPr/>
      </w:pPr>
      <w:r>
        <w:rPr/>
        <w:t>effect in relation to the remaining Attorneys-in-fact. The Company has the</w:t>
      </w:r>
    </w:p>
    <w:p>
      <w:pPr>
        <w:pStyle w:val="PreformattedText"/>
        <w:bidi w:val="0"/>
        <w:spacing w:before="0" w:after="0"/>
        <w:jc w:val="left"/>
        <w:rPr/>
      </w:pPr>
      <w:r>
        <w:rPr/>
        <w:t>unrestricted right unilaterally to revoke the Power of Attorney.</w:t>
      </w:r>
    </w:p>
    <w:p>
      <w:pPr>
        <w:pStyle w:val="PreformattedText"/>
        <w:bidi w:val="0"/>
        <w:spacing w:before="0" w:after="0"/>
        <w:jc w:val="left"/>
        <w:rPr/>
      </w:pPr>
      <w:r>
        <w:rPr/>
      </w:r>
    </w:p>
    <w:p>
      <w:pPr>
        <w:pStyle w:val="PreformattedText"/>
        <w:bidi w:val="0"/>
        <w:spacing w:before="0" w:after="0"/>
        <w:jc w:val="left"/>
        <w:rPr/>
      </w:pPr>
      <w:r>
        <w:rPr/>
        <w:t>This Power of Attorney shall be governed by, and construed in accordance with,</w:t>
      </w:r>
    </w:p>
    <w:p>
      <w:pPr>
        <w:pStyle w:val="PreformattedText"/>
        <w:bidi w:val="0"/>
        <w:spacing w:before="0" w:after="0"/>
        <w:jc w:val="left"/>
        <w:rPr/>
      </w:pPr>
      <w:r>
        <w:rPr/>
        <w:t>the laws of the State of New York, without regard to rules of conflicts of law.</w:t>
      </w:r>
    </w:p>
    <w:p>
      <w:pPr>
        <w:pStyle w:val="PreformattedText"/>
        <w:bidi w:val="0"/>
        <w:spacing w:before="0" w:after="0"/>
        <w:jc w:val="left"/>
        <w:rPr/>
      </w:pPr>
      <w:r>
        <w:rPr/>
      </w:r>
    </w:p>
    <w:p>
      <w:pPr>
        <w:pStyle w:val="PreformattedText"/>
        <w:bidi w:val="0"/>
        <w:spacing w:before="0" w:after="0"/>
        <w:jc w:val="left"/>
        <w:rPr/>
      </w:pPr>
      <w:r>
        <w:rPr/>
        <w:t>This Power of Attorney supersedes the Power of Attorney granted by the Company</w:t>
      </w:r>
    </w:p>
    <w:p>
      <w:pPr>
        <w:pStyle w:val="PreformattedText"/>
        <w:bidi w:val="0"/>
        <w:spacing w:before="0" w:after="0"/>
        <w:jc w:val="left"/>
        <w:rPr/>
      </w:pPr>
      <w:r>
        <w:rPr/>
        <w:t>to Abhishek V, Kateryna Osmachko, Ameen Soetan, Kshama Mishra, Papa Lette,</w:t>
      </w:r>
    </w:p>
    <w:p>
      <w:pPr>
        <w:pStyle w:val="PreformattedText"/>
        <w:bidi w:val="0"/>
        <w:spacing w:before="0" w:after="0"/>
        <w:jc w:val="left"/>
        <w:rPr/>
      </w:pPr>
      <w:r>
        <w:rPr/>
        <w:t>Sunaina Kapoor, and Andrzej Szyszka on February 9, 2024.</w:t>
      </w:r>
    </w:p>
    <w:p>
      <w:pPr>
        <w:pStyle w:val="PreformattedText"/>
        <w:bidi w:val="0"/>
        <w:spacing w:before="0" w:after="0"/>
        <w:jc w:val="left"/>
        <w:rPr/>
      </w:pPr>
      <w:r>
        <w:rPr/>
      </w:r>
    </w:p>
    <w:p>
      <w:pPr>
        <w:pStyle w:val="PreformattedText"/>
        <w:bidi w:val="0"/>
        <w:spacing w:before="0" w:after="0"/>
        <w:jc w:val="left"/>
        <w:rPr/>
      </w:pPr>
      <w:r>
        <w:rPr/>
        <w:t>IN WITNESS WHEREOF, the undersigned has duly subscribed these presents</w:t>
      </w:r>
    </w:p>
    <w:p>
      <w:pPr>
        <w:pStyle w:val="PreformattedText"/>
        <w:bidi w:val="0"/>
        <w:spacing w:before="0" w:after="0"/>
        <w:jc w:val="left"/>
        <w:rPr/>
      </w:pPr>
      <w:r>
        <w:rPr/>
        <w:t>as of July 29, 2024.</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GOLDMAN SACHS &amp; CO.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Richard A. Friedman</w:t>
      </w:r>
    </w:p>
    <w:p>
      <w:pPr>
        <w:pStyle w:val="PreformattedText"/>
        <w:bidi w:val="0"/>
        <w:spacing w:before="0" w:after="0"/>
        <w:jc w:val="left"/>
        <w:rPr/>
      </w:pPr>
      <w:r>
        <w:rPr/>
        <w:t>____________________________</w:t>
      </w:r>
    </w:p>
    <w:p>
      <w:pPr>
        <w:pStyle w:val="PreformattedText"/>
        <w:bidi w:val="0"/>
        <w:spacing w:before="0" w:after="0"/>
        <w:jc w:val="left"/>
        <w:rPr/>
      </w:pPr>
      <w:r>
        <w:rPr/>
        <w:t>Name: Richard A. Friedman</w:t>
      </w:r>
    </w:p>
    <w:p>
      <w:pPr>
        <w:pStyle w:val="PreformattedText"/>
        <w:bidi w:val="0"/>
        <w:spacing w:before="0" w:after="0"/>
        <w:jc w:val="left"/>
        <w:rPr/>
      </w:pPr>
      <w:r>
        <w:rPr/>
        <w:t>Title: Assistant Secretary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KNOW ALL PERSONS BY THESE PRESENTS that GOLDMAN SACHS &amp; CO. LLC</w:t>
      </w:r>
    </w:p>
    <w:p>
      <w:pPr>
        <w:pStyle w:val="PreformattedText"/>
        <w:bidi w:val="0"/>
        <w:spacing w:before="0" w:after="0"/>
        <w:jc w:val="left"/>
        <w:rPr/>
      </w:pPr>
      <w:r>
        <w:rPr/>
        <w:t>(the "Company") does hereby make, constitute and appoint each Papa Lette,</w:t>
      </w:r>
    </w:p>
    <w:p>
      <w:pPr>
        <w:pStyle w:val="PreformattedText"/>
        <w:bidi w:val="0"/>
        <w:spacing w:before="0" w:after="0"/>
        <w:jc w:val="left"/>
        <w:rPr/>
      </w:pPr>
      <w:r>
        <w:rPr/>
        <w:t>Akash Keshari, Regina Chan, Andrzej Szyszka, Ameen Soetan, Rahail Patel,</w:t>
      </w:r>
    </w:p>
    <w:p>
      <w:pPr>
        <w:pStyle w:val="PreformattedText"/>
        <w:bidi w:val="0"/>
        <w:spacing w:before="0" w:after="0"/>
        <w:jc w:val="left"/>
        <w:rPr/>
      </w:pPr>
      <w:r>
        <w:rPr/>
        <w:t>Santosh Vinayagamoorthy, Sadhiya Raffique, Matthew Pomfret,</w:t>
      </w:r>
    </w:p>
    <w:p>
      <w:pPr>
        <w:pStyle w:val="PreformattedText"/>
        <w:bidi w:val="0"/>
        <w:spacing w:before="0" w:after="0"/>
        <w:jc w:val="left"/>
        <w:rPr/>
      </w:pPr>
      <w:r>
        <w:rPr/>
        <w:t>Abhishek Vishwanathan, Mariana Audeves Martinez, Veronica Mupazviriwo,</w:t>
      </w:r>
    </w:p>
    <w:p>
      <w:pPr>
        <w:pStyle w:val="PreformattedText"/>
        <w:bidi w:val="0"/>
        <w:spacing w:before="0" w:after="0"/>
        <w:jc w:val="left"/>
        <w:rPr/>
      </w:pPr>
      <w:r>
        <w:rPr/>
        <w:t>Elizabeth Novak and Sam Prashanth, acting individually, its true and lawful</w:t>
      </w:r>
    </w:p>
    <w:p>
      <w:pPr>
        <w:pStyle w:val="PreformattedText"/>
        <w:bidi w:val="0"/>
        <w:spacing w:before="0" w:after="0"/>
        <w:jc w:val="left"/>
        <w:rPr/>
      </w:pPr>
      <w:r>
        <w:rPr/>
        <w:t>attorney, to execute and deliver in its name and on its behalf, whether the</w:t>
      </w:r>
    </w:p>
    <w:p>
      <w:pPr>
        <w:pStyle w:val="PreformattedText"/>
        <w:bidi w:val="0"/>
        <w:spacing w:before="0" w:after="0"/>
        <w:jc w:val="left"/>
        <w:rPr/>
      </w:pPr>
      <w:r>
        <w:rPr/>
        <w:t>Company is acting individually or as representative of others, any and all</w:t>
      </w:r>
    </w:p>
    <w:p>
      <w:pPr>
        <w:pStyle w:val="PreformattedText"/>
        <w:bidi w:val="0"/>
        <w:spacing w:before="0" w:after="0"/>
        <w:jc w:val="left"/>
        <w:rPr/>
      </w:pPr>
      <w:r>
        <w:rPr/>
        <w:t>filings required to be made by the Company pursuant to Rule 13f-1or Regulation</w:t>
      </w:r>
    </w:p>
    <w:p>
      <w:pPr>
        <w:pStyle w:val="PreformattedText"/>
        <w:bidi w:val="0"/>
        <w:spacing w:before="0" w:after="0"/>
        <w:jc w:val="left"/>
        <w:rPr/>
      </w:pPr>
      <w:r>
        <w:rPr/>
        <w:t>13D-G under the Securities Exchange Act of 1934, (as amended, the "Act"), which</w:t>
      </w:r>
    </w:p>
    <w:p>
      <w:pPr>
        <w:pStyle w:val="PreformattedText"/>
        <w:bidi w:val="0"/>
        <w:spacing w:before="0" w:after="0"/>
        <w:jc w:val="left"/>
        <w:rPr/>
      </w:pPr>
      <w:r>
        <w:rPr/>
        <w:t>may be required of the Company with respect to securities which may be deemed</w:t>
      </w:r>
    </w:p>
    <w:p>
      <w:pPr>
        <w:pStyle w:val="PreformattedText"/>
        <w:bidi w:val="0"/>
        <w:spacing w:before="0" w:after="0"/>
        <w:jc w:val="left"/>
        <w:rPr/>
      </w:pPr>
      <w:r>
        <w:rPr/>
        <w:t>to be beneficially owned by the Company under the Act, giving and granting unto</w:t>
      </w:r>
    </w:p>
    <w:p>
      <w:pPr>
        <w:pStyle w:val="PreformattedText"/>
        <w:bidi w:val="0"/>
        <w:spacing w:before="0" w:after="0"/>
        <w:jc w:val="left"/>
        <w:rPr/>
      </w:pPr>
      <w:r>
        <w:rPr/>
        <w:t>each said Attorney-in-fact  power and authority to act in the premises as fully</w:t>
      </w:r>
    </w:p>
    <w:p>
      <w:pPr>
        <w:pStyle w:val="PreformattedText"/>
        <w:bidi w:val="0"/>
        <w:spacing w:before="0" w:after="0"/>
        <w:jc w:val="left"/>
        <w:rPr/>
      </w:pPr>
      <w:r>
        <w:rPr/>
        <w:t>and to all intents and purposes as the Company might or could do if personally</w:t>
      </w:r>
    </w:p>
    <w:p>
      <w:pPr>
        <w:pStyle w:val="PreformattedText"/>
        <w:bidi w:val="0"/>
        <w:spacing w:before="0" w:after="0"/>
        <w:jc w:val="left"/>
        <w:rPr/>
      </w:pPr>
      <w:r>
        <w:rPr/>
        <w:t>present by one of its authorized signatories, hereby ratifying and confirming</w:t>
      </w:r>
    </w:p>
    <w:p>
      <w:pPr>
        <w:pStyle w:val="PreformattedText"/>
        <w:bidi w:val="0"/>
        <w:spacing w:before="0" w:after="0"/>
        <w:jc w:val="left"/>
        <w:rPr/>
      </w:pPr>
      <w:r>
        <w:rPr/>
        <w:t>all that said Attorney-in-fact shall lawfully do or cause to be done by</w:t>
      </w:r>
    </w:p>
    <w:p>
      <w:pPr>
        <w:pStyle w:val="PreformattedText"/>
        <w:bidi w:val="0"/>
        <w:spacing w:before="0" w:after="0"/>
        <w:jc w:val="left"/>
        <w:rPr/>
      </w:pPr>
      <w:r>
        <w:rPr/>
        <w:t>virtue hereof.</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w:t>
      </w:r>
    </w:p>
    <w:p>
      <w:pPr>
        <w:pStyle w:val="PreformattedText"/>
        <w:bidi w:val="0"/>
        <w:spacing w:before="0" w:after="0"/>
        <w:jc w:val="left"/>
        <w:rPr/>
      </w:pPr>
      <w:r>
        <w:rPr/>
        <w:t>October 1,2025 unless earlier revoked by written instrument, or in the event an</w:t>
      </w:r>
    </w:p>
    <w:p>
      <w:pPr>
        <w:pStyle w:val="PreformattedText"/>
        <w:bidi w:val="0"/>
        <w:spacing w:before="0" w:after="0"/>
        <w:jc w:val="left"/>
        <w:rPr/>
      </w:pPr>
      <w:r>
        <w:rPr/>
        <w:t>Attorney-in-fact ceases to be an employee of The Goldman Sachs Group, Inc.</w:t>
      </w:r>
    </w:p>
    <w:p>
      <w:pPr>
        <w:pStyle w:val="PreformattedText"/>
        <w:bidi w:val="0"/>
        <w:spacing w:before="0" w:after="0"/>
        <w:jc w:val="left"/>
        <w:rPr/>
      </w:pPr>
      <w:r>
        <w:rPr/>
        <w:t>or one of its affiliates or ceases to perform the function in connection with</w:t>
      </w:r>
    </w:p>
    <w:p>
      <w:pPr>
        <w:pStyle w:val="PreformattedText"/>
        <w:bidi w:val="0"/>
        <w:spacing w:before="0" w:after="0"/>
        <w:jc w:val="left"/>
        <w:rPr/>
      </w:pPr>
      <w:r>
        <w:rPr/>
        <w:t>which he or she was appointed Attorney-in-fact prior to October 1,2025</w:t>
      </w:r>
    </w:p>
    <w:p>
      <w:pPr>
        <w:pStyle w:val="PreformattedText"/>
        <w:bidi w:val="0"/>
        <w:spacing w:before="0" w:after="0"/>
        <w:jc w:val="left"/>
        <w:rPr/>
      </w:pPr>
      <w:r>
        <w:rPr/>
        <w:t>this Power of Attorney shall cease to have effect in relation to such</w:t>
      </w:r>
    </w:p>
    <w:p>
      <w:pPr>
        <w:pStyle w:val="PreformattedText"/>
        <w:bidi w:val="0"/>
        <w:spacing w:before="0" w:after="0"/>
        <w:jc w:val="left"/>
        <w:rPr/>
      </w:pPr>
      <w:r>
        <w:rPr/>
        <w:t>Attorney-in-fact upon such cessation but shall continue in full force and</w:t>
      </w:r>
    </w:p>
    <w:p>
      <w:pPr>
        <w:pStyle w:val="PreformattedText"/>
        <w:bidi w:val="0"/>
        <w:spacing w:before="0" w:after="0"/>
        <w:jc w:val="left"/>
        <w:rPr/>
      </w:pPr>
      <w:r>
        <w:rPr/>
        <w:t>effect in relation to the remaining Attorneys-in-fact. The Company has the</w:t>
      </w:r>
    </w:p>
    <w:p>
      <w:pPr>
        <w:pStyle w:val="PreformattedText"/>
        <w:bidi w:val="0"/>
        <w:spacing w:before="0" w:after="0"/>
        <w:jc w:val="left"/>
        <w:rPr/>
      </w:pPr>
      <w:r>
        <w:rPr/>
        <w:t>unrestricted right unilaterally to revoke the Power of Attorney.</w:t>
      </w:r>
    </w:p>
    <w:p>
      <w:pPr>
        <w:pStyle w:val="PreformattedText"/>
        <w:bidi w:val="0"/>
        <w:spacing w:before="0" w:after="0"/>
        <w:jc w:val="left"/>
        <w:rPr/>
      </w:pPr>
      <w:r>
        <w:rPr/>
      </w:r>
    </w:p>
    <w:p>
      <w:pPr>
        <w:pStyle w:val="PreformattedText"/>
        <w:bidi w:val="0"/>
        <w:spacing w:before="0" w:after="0"/>
        <w:jc w:val="left"/>
        <w:rPr/>
      </w:pPr>
      <w:r>
        <w:rPr/>
        <w:t>This Power of Attorney shall be governed by, and construed in accordance with,</w:t>
      </w:r>
    </w:p>
    <w:p>
      <w:pPr>
        <w:pStyle w:val="PreformattedText"/>
        <w:bidi w:val="0"/>
        <w:spacing w:before="0" w:after="0"/>
        <w:jc w:val="left"/>
        <w:rPr/>
      </w:pPr>
      <w:r>
        <w:rPr/>
        <w:t>the laws of the State of New York, without regard to rules of conflicts of law.</w:t>
      </w:r>
    </w:p>
    <w:p>
      <w:pPr>
        <w:pStyle w:val="PreformattedText"/>
        <w:bidi w:val="0"/>
        <w:spacing w:before="0" w:after="0"/>
        <w:jc w:val="left"/>
        <w:rPr/>
      </w:pPr>
      <w:r>
        <w:rPr/>
      </w:r>
    </w:p>
    <w:p>
      <w:pPr>
        <w:pStyle w:val="PreformattedText"/>
        <w:bidi w:val="0"/>
        <w:spacing w:before="0" w:after="0"/>
        <w:jc w:val="left"/>
        <w:rPr/>
      </w:pPr>
      <w:r>
        <w:rPr/>
        <w:t>This Power of Attorney supersedes the Power of Attorney granted by the Company</w:t>
      </w:r>
    </w:p>
    <w:p>
      <w:pPr>
        <w:pStyle w:val="PreformattedText"/>
        <w:bidi w:val="0"/>
        <w:spacing w:before="0" w:after="0"/>
        <w:jc w:val="left"/>
        <w:rPr/>
      </w:pPr>
      <w:r>
        <w:rPr/>
        <w:t>to Abhishek V, Kateryna Osmachko, Ameen Soetan, Kshama Mishra, Papa Lette,</w:t>
      </w:r>
    </w:p>
    <w:p>
      <w:pPr>
        <w:pStyle w:val="PreformattedText"/>
        <w:bidi w:val="0"/>
        <w:spacing w:before="0" w:after="0"/>
        <w:jc w:val="left"/>
        <w:rPr/>
      </w:pPr>
      <w:r>
        <w:rPr/>
        <w:t>Sunaina Kapoor, and Andrzej Szyszka on December 1, 2023.</w:t>
      </w:r>
    </w:p>
    <w:p>
      <w:pPr>
        <w:pStyle w:val="PreformattedText"/>
        <w:bidi w:val="0"/>
        <w:spacing w:before="0" w:after="0"/>
        <w:jc w:val="left"/>
        <w:rPr/>
      </w:pPr>
      <w:r>
        <w:rPr/>
      </w:r>
    </w:p>
    <w:p>
      <w:pPr>
        <w:pStyle w:val="PreformattedText"/>
        <w:bidi w:val="0"/>
        <w:spacing w:before="0" w:after="0"/>
        <w:jc w:val="left"/>
        <w:rPr/>
      </w:pPr>
      <w:r>
        <w:rPr/>
        <w:t>IN WITNESS WHEREOF, the undersigned has duly subscribed these presents</w:t>
      </w:r>
    </w:p>
    <w:p>
      <w:pPr>
        <w:pStyle w:val="PreformattedText"/>
        <w:bidi w:val="0"/>
        <w:spacing w:before="0" w:after="0"/>
        <w:jc w:val="left"/>
        <w:rPr/>
      </w:pPr>
      <w:r>
        <w:rPr/>
        <w:t>as of October 1,2024.</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GOLDMAN SACHS &amp; CO.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Milton Millman</w:t>
      </w:r>
    </w:p>
    <w:p>
      <w:pPr>
        <w:pStyle w:val="PreformattedText"/>
        <w:bidi w:val="0"/>
        <w:spacing w:before="0" w:after="0"/>
        <w:jc w:val="left"/>
        <w:rPr/>
      </w:pPr>
      <w:r>
        <w:rPr/>
        <w:t>____________________________</w:t>
      </w:r>
    </w:p>
    <w:p>
      <w:pPr>
        <w:pStyle w:val="PreformattedText"/>
        <w:bidi w:val="0"/>
        <w:spacing w:before="0" w:after="0"/>
        <w:jc w:val="left"/>
        <w:rPr/>
      </w:pPr>
      <w:r>
        <w:rPr/>
        <w:t>Name: Milton Millman</w:t>
      </w:r>
    </w:p>
    <w:p>
      <w:pPr>
        <w:pStyle w:val="PreformattedText"/>
        <w:bidi w:val="0"/>
        <w:spacing w:before="0" w:after="0"/>
        <w:jc w:val="left"/>
        <w:rPr/>
      </w:pPr>
      <w:r>
        <w:rPr/>
        <w:t>Title: Managing Director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2031</Words>
  <Characters>10541</Characters>
  <CharactersWithSpaces>12515</CharactersWithSpaces>
  <Paragraphs>293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