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20,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333-259815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333-260481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333-262338</w:t>
      </w:r>
    </w:p>
    <w:p>
      <w:pPr>
        <w:spacing w:after="0" w:line="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193040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7"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4"/>
          <w:szCs w:val="24"/>
          <w:b w:val="1"/>
          <w:bCs w:val="1"/>
          <w:color w:val="auto"/>
        </w:rPr>
        <w:t>POST-EFFECTIVE AMENDMENT NO. 1 TO FORM S-8 REGISTRATION STATEMENT NO. 333-</w:t>
      </w:r>
    </w:p>
    <w:p>
      <w:pPr>
        <w:spacing w:after="0" w:line="55"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5"/>
          <w:szCs w:val="25"/>
          <w:b w:val="1"/>
          <w:bCs w:val="1"/>
          <w:color w:val="auto"/>
        </w:rPr>
        <w:t>259815</w:t>
      </w:r>
    </w:p>
    <w:p>
      <w:pPr>
        <w:spacing w:after="0" w:line="13"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4"/>
          <w:szCs w:val="24"/>
          <w:b w:val="1"/>
          <w:bCs w:val="1"/>
          <w:color w:val="auto"/>
        </w:rPr>
        <w:t>POST-EFFECTIVE AMENDMENT NO. 1 TO FORM S-8 REGISTRATION STATEMENT NO. 333-</w:t>
      </w:r>
    </w:p>
    <w:p>
      <w:pPr>
        <w:spacing w:after="0" w:line="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5"/>
          <w:szCs w:val="25"/>
          <w:b w:val="1"/>
          <w:bCs w:val="1"/>
          <w:color w:val="auto"/>
        </w:rPr>
        <w:t>260481</w:t>
      </w:r>
    </w:p>
    <w:p>
      <w:pPr>
        <w:spacing w:after="0" w:line="13"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4"/>
          <w:szCs w:val="24"/>
          <w:b w:val="1"/>
          <w:bCs w:val="1"/>
          <w:color w:val="auto"/>
        </w:rPr>
        <w:t>POST-EFFECTIVE AMENDMENT NO. 1 TO FORM S-8 REGISTRATION STATEMENT NO. 333-</w:t>
      </w:r>
    </w:p>
    <w:p>
      <w:pPr>
        <w:spacing w:after="0" w:line="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5"/>
          <w:szCs w:val="25"/>
          <w:b w:val="1"/>
          <w:bCs w:val="1"/>
          <w:color w:val="auto"/>
        </w:rPr>
        <w:t>262338</w:t>
      </w:r>
    </w:p>
    <w:p>
      <w:pPr>
        <w:spacing w:after="0" w:line="21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5"/>
          <w:szCs w:val="25"/>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221615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36"/>
          <w:szCs w:val="36"/>
          <w:b w:val="1"/>
          <w:bCs w:val="1"/>
          <w:color w:val="auto"/>
        </w:rPr>
        <w:t>GENEDX HOLDINGS CORP.</w:t>
      </w:r>
    </w:p>
    <w:p>
      <w:pPr>
        <w:spacing w:after="0" w:line="53"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0" w:lineRule="exact"/>
        <w:rPr>
          <w:sz w:val="24"/>
          <w:szCs w:val="24"/>
          <w:color w:val="auto"/>
        </w:rPr>
      </w:pPr>
    </w:p>
    <w:p>
      <w:pPr>
        <w:spacing w:after="0" w:line="366" w:lineRule="exact"/>
        <w:rPr>
          <w:sz w:val="24"/>
          <w:szCs w:val="24"/>
          <w:color w:val="auto"/>
        </w:rPr>
      </w:pPr>
    </w:p>
    <w:tbl>
      <w:tblPr>
        <w:tblLayout w:type="fixed"/>
        <w:tblInd w:w="2340" w:type="dxa"/>
        <w:tblCellMar>
          <w:top w:w="0" w:type="dxa"/>
          <w:left w:w="0" w:type="dxa"/>
          <w:bottom w:w="0" w:type="dxa"/>
          <w:right w:w="0" w:type="dxa"/>
        </w:tblCellMar>
      </w:tblPr>
      <w:tr>
        <w:trPr>
          <w:trHeight w:val="212"/>
        </w:trPr>
        <w:tc>
          <w:tcPr>
            <w:tcW w:w="4140" w:type="dxa"/>
            <w:vAlign w:val="bottom"/>
          </w:tcPr>
          <w:p>
            <w:pPr>
              <w:jc w:val="center"/>
              <w:ind w:right="18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180" w:type="dxa"/>
            <w:vAlign w:val="bottom"/>
          </w:tcPr>
          <w:p>
            <w:pPr>
              <w:jc w:val="center"/>
              <w:ind w:left="1879"/>
              <w:spacing w:after="0"/>
              <w:rPr>
                <w:sz w:val="20"/>
                <w:szCs w:val="20"/>
                <w:color w:val="auto"/>
              </w:rPr>
            </w:pPr>
            <w:r>
              <w:rPr>
                <w:rFonts w:ascii="Times New Roman" w:cs="Times New Roman" w:eastAsia="Times New Roman" w:hAnsi="Times New Roman"/>
                <w:sz w:val="16"/>
                <w:szCs w:val="16"/>
                <w:b w:val="1"/>
                <w:bCs w:val="1"/>
                <w:color w:val="auto"/>
              </w:rPr>
              <w:t>85-1966622</w:t>
            </w:r>
          </w:p>
        </w:tc>
      </w:tr>
      <w:tr>
        <w:trPr>
          <w:trHeight w:val="262"/>
        </w:trPr>
        <w:tc>
          <w:tcPr>
            <w:tcW w:w="4140" w:type="dxa"/>
            <w:vAlign w:val="bottom"/>
          </w:tcPr>
          <w:p>
            <w:pPr>
              <w:jc w:val="center"/>
              <w:ind w:right="1859"/>
              <w:spacing w:after="0"/>
              <w:rPr>
                <w:sz w:val="20"/>
                <w:szCs w:val="20"/>
                <w:color w:val="auto"/>
              </w:rPr>
            </w:pPr>
            <w:r>
              <w:rPr>
                <w:rFonts w:ascii="Times New Roman" w:cs="Times New Roman" w:eastAsia="Times New Roman" w:hAnsi="Times New Roman"/>
                <w:sz w:val="16"/>
                <w:szCs w:val="16"/>
                <w:color w:val="auto"/>
              </w:rPr>
              <w:t>(State or Other Jurisdiction</w:t>
            </w:r>
          </w:p>
        </w:tc>
        <w:tc>
          <w:tcPr>
            <w:tcW w:w="3180" w:type="dxa"/>
            <w:vAlign w:val="bottom"/>
          </w:tcPr>
          <w:p>
            <w:pPr>
              <w:jc w:val="center"/>
              <w:ind w:left="187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140" w:type="dxa"/>
            <w:vAlign w:val="bottom"/>
          </w:tcPr>
          <w:p>
            <w:pPr>
              <w:jc w:val="center"/>
              <w:ind w:right="1879"/>
              <w:spacing w:after="0"/>
              <w:rPr>
                <w:sz w:val="20"/>
                <w:szCs w:val="20"/>
                <w:color w:val="auto"/>
              </w:rPr>
            </w:pPr>
            <w:r>
              <w:rPr>
                <w:rFonts w:ascii="Times New Roman" w:cs="Times New Roman" w:eastAsia="Times New Roman" w:hAnsi="Times New Roman"/>
                <w:sz w:val="16"/>
                <w:szCs w:val="16"/>
                <w:color w:val="auto"/>
              </w:rPr>
              <w:t>of Incorporation or Organization)</w:t>
            </w:r>
          </w:p>
        </w:tc>
        <w:tc>
          <w:tcPr>
            <w:tcW w:w="3180" w:type="dxa"/>
            <w:vAlign w:val="bottom"/>
          </w:tcPr>
          <w:p>
            <w:pPr>
              <w:jc w:val="center"/>
              <w:ind w:left="1879"/>
              <w:spacing w:after="0"/>
              <w:rPr>
                <w:sz w:val="20"/>
                <w:szCs w:val="20"/>
                <w:color w:val="auto"/>
              </w:rPr>
            </w:pPr>
            <w:r>
              <w:rPr>
                <w:rFonts w:ascii="Times New Roman" w:cs="Times New Roman" w:eastAsia="Times New Roman" w:hAnsi="Times New Roman"/>
                <w:sz w:val="16"/>
                <w:szCs w:val="16"/>
                <w:color w:val="auto"/>
              </w:rPr>
              <w:t>Identification No.)</w:t>
            </w:r>
          </w:p>
        </w:tc>
      </w:tr>
    </w:tbl>
    <w:p>
      <w:pPr>
        <w:spacing w:after="0" w:line="348"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333 Ludlow Street, North Tower, 6th Floor</w:t>
      </w:r>
    </w:p>
    <w:p>
      <w:pPr>
        <w:spacing w:after="0" w:line="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Stamford, Connecticut 06902</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13"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6"/>
          <w:szCs w:val="16"/>
          <w:b w:val="1"/>
          <w:bCs w:val="1"/>
          <w:color w:val="auto"/>
        </w:rPr>
        <w:t>GENEDX HOLDINGS CORP. AMENDED AND RESTATED 2021 EQUITY INCENTIVE PLAN</w:t>
      </w:r>
    </w:p>
    <w:p>
      <w:pPr>
        <w:spacing w:after="0" w:line="15"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6"/>
          <w:szCs w:val="16"/>
          <w:b w:val="1"/>
          <w:bCs w:val="1"/>
          <w:color w:val="auto"/>
        </w:rPr>
        <w:t>GENEDX HOLDINGS CORP. 2021 EMPLOYEE STOCK PURCHASE PLAN</w:t>
      </w:r>
    </w:p>
    <w:p>
      <w:pPr>
        <w:spacing w:after="0" w:line="8"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6"/>
          <w:szCs w:val="16"/>
          <w:b w:val="1"/>
          <w:bCs w:val="1"/>
          <w:color w:val="auto"/>
        </w:rPr>
        <w:t>MOUNT SINAI GENOMICS, INC. 2017 EQUITY INCENTIVE PLAN</w:t>
      </w:r>
    </w:p>
    <w:p>
      <w:pPr>
        <w:spacing w:after="0" w:line="15"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GENEDX HOLDINGS CORP. EARN-OUT RSU AWARDS</w:t>
      </w:r>
    </w:p>
    <w:p>
      <w:pPr>
        <w:spacing w:after="0" w:line="5"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197485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Katherine Stueland</w:t>
      </w:r>
    </w:p>
    <w:p>
      <w:pPr>
        <w:spacing w:after="0" w:line="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333 Ludlow Street, North Tower, 6th Floor</w:t>
      </w:r>
    </w:p>
    <w:p>
      <w:pPr>
        <w:spacing w:after="0" w:line="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Stamford, Connecticut 06902</w:t>
      </w:r>
    </w:p>
    <w:p>
      <w:pPr>
        <w:spacing w:after="0" w:line="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(Name and Address of Agent For Service)</w:t>
      </w:r>
    </w:p>
    <w:p>
      <w:pPr>
        <w:spacing w:after="0" w:line="13"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(888) 729-1206</w:t>
      </w:r>
    </w:p>
    <w:p>
      <w:pPr>
        <w:spacing w:after="0" w:line="15"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6"/>
          <w:szCs w:val="16"/>
          <w:i w:val="1"/>
          <w:i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191770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440" w:right="339" w:bottom="1440" w:gutter="0" w:footer="0" w:header="0"/>
        </w:sectPr>
      </w:pPr>
    </w:p>
    <w:bookmarkStart w:id="1" w:name="page2"/>
    <w:bookmarkEnd w:id="1"/>
    <w:p>
      <w:pPr>
        <w:spacing w:after="0" w:line="200" w:lineRule="exact"/>
        <w:rPr>
          <w:sz w:val="20"/>
          <w:szCs w:val="20"/>
          <w:color w:val="auto"/>
        </w:rPr>
      </w:pPr>
    </w:p>
    <w:p>
      <w:pPr>
        <w:spacing w:after="0" w:line="341" w:lineRule="exact"/>
        <w:rPr>
          <w:sz w:val="20"/>
          <w:szCs w:val="20"/>
          <w:color w:val="auto"/>
        </w:rPr>
      </w:pPr>
    </w:p>
    <w:tbl>
      <w:tblPr>
        <w:tblLayout w:type="fixed"/>
        <w:tblInd w:w="116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522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Copies to:</w:t>
            </w:r>
          </w:p>
        </w:tc>
      </w:tr>
      <w:tr>
        <w:trPr>
          <w:trHeight w:val="275"/>
        </w:trPr>
        <w:tc>
          <w:tcPr>
            <w:tcW w:w="31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Ethan Skerry</w:t>
            </w:r>
          </w:p>
        </w:tc>
        <w:tc>
          <w:tcPr>
            <w:tcW w:w="522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Kevin Feeley</w:t>
            </w:r>
          </w:p>
        </w:tc>
      </w:tr>
      <w:tr>
        <w:trPr>
          <w:trHeight w:val="216"/>
        </w:trPr>
        <w:tc>
          <w:tcPr>
            <w:tcW w:w="31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Per B. Chilstrom</w:t>
            </w:r>
          </w:p>
        </w:tc>
        <w:tc>
          <w:tcPr>
            <w:tcW w:w="522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16"/>
        </w:trPr>
        <w:tc>
          <w:tcPr>
            <w:tcW w:w="31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Fenwick &amp; West LLP</w:t>
            </w:r>
          </w:p>
        </w:tc>
        <w:tc>
          <w:tcPr>
            <w:tcW w:w="522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GeneDx Holdings Corp.</w:t>
            </w:r>
          </w:p>
        </w:tc>
      </w:tr>
      <w:tr>
        <w:trPr>
          <w:trHeight w:val="216"/>
        </w:trPr>
        <w:tc>
          <w:tcPr>
            <w:tcW w:w="31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902 Broadway</w:t>
            </w:r>
          </w:p>
        </w:tc>
        <w:tc>
          <w:tcPr>
            <w:tcW w:w="522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333 Ludlow Street, North Tower, 6th Floor</w:t>
            </w:r>
          </w:p>
        </w:tc>
      </w:tr>
      <w:tr>
        <w:trPr>
          <w:trHeight w:val="216"/>
        </w:trPr>
        <w:tc>
          <w:tcPr>
            <w:tcW w:w="31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8"/>
              </w:rPr>
              <w:t>New York, New York 10010</w:t>
            </w:r>
          </w:p>
        </w:tc>
        <w:tc>
          <w:tcPr>
            <w:tcW w:w="522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Stamford, Connecticut 06902</w:t>
            </w:r>
          </w:p>
        </w:tc>
      </w:tr>
      <w:tr>
        <w:trPr>
          <w:trHeight w:val="265"/>
        </w:trPr>
        <w:tc>
          <w:tcPr>
            <w:tcW w:w="31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(212) 430-2600</w:t>
            </w:r>
          </w:p>
        </w:tc>
        <w:tc>
          <w:tcPr>
            <w:tcW w:w="522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(888) 729-1206</w:t>
            </w:r>
          </w:p>
        </w:tc>
      </w:tr>
    </w:tbl>
    <w:p>
      <w:pPr>
        <w:spacing w:after="0" w:line="1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304" w:lineRule="exact"/>
        <w:rPr>
          <w:sz w:val="20"/>
          <w:szCs w:val="20"/>
          <w:color w:val="auto"/>
        </w:r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100" w:lineRule="exact"/>
        <w:rPr>
          <w:sz w:val="20"/>
          <w:szCs w:val="20"/>
          <w:color w:val="auto"/>
        </w:rPr>
      </w:pPr>
    </w:p>
    <w:p>
      <w:pPr>
        <w:sectPr>
          <w:pgSz w:w="11900" w:h="16838" w:orient="portrait"/>
          <w:cols w:equalWidth="0" w:num="2">
            <w:col w:w="4420" w:space="720"/>
            <w:col w:w="6100"/>
          </w:cols>
          <w:pgMar w:left="320" w:top="1440" w:right="339" w:bottom="1440" w:gutter="0" w:footer="0" w:header="0"/>
          <w:type w:val="continuous"/>
        </w:sect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88" w:lineRule="exact"/>
        <w:rPr>
          <w:sz w:val="20"/>
          <w:szCs w:val="20"/>
          <w:color w:val="auto"/>
        </w:rPr>
      </w:pPr>
    </w:p>
    <w:p>
      <w:pPr>
        <w:sectPr>
          <w:pgSz w:w="11900" w:h="16838" w:orient="portrait"/>
          <w:cols w:equalWidth="0" w:num="2">
            <w:col w:w="4420" w:space="720"/>
            <w:col w:w="6100"/>
          </w:cols>
          <w:pgMar w:left="320" w:top="1440" w:right="339" w:bottom="1440" w:gutter="0" w:footer="0" w:header="0"/>
          <w:type w:val="continuous"/>
        </w:sectPr>
      </w:pPr>
    </w:p>
    <w:p>
      <w:pPr>
        <w:ind w:left="514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1440" w:right="339" w:bottom="1440" w:gutter="0" w:footer="0" w:header="0"/>
          <w:type w:val="continuous"/>
        </w:sectPr>
      </w:pPr>
    </w:p>
    <w:p>
      <w:pPr>
        <w:spacing w:after="0" w:line="120" w:lineRule="exact"/>
        <w:rPr>
          <w:sz w:val="20"/>
          <w:szCs w:val="20"/>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CERTAIN SHARES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These Post-Effective Amendments (the “Post-Effective Amendments”) relate to the following registration statements (collectively, the “Registration Statements”) previously filed by GeneDx Holdings Corp., a Delaware corporation (the “Registrant”):</w:t>
      </w:r>
    </w:p>
    <w:p>
      <w:pPr>
        <w:spacing w:after="0" w:line="189" w:lineRule="exact"/>
        <w:rPr>
          <w:sz w:val="20"/>
          <w:szCs w:val="20"/>
          <w:color w:val="auto"/>
        </w:rPr>
      </w:pPr>
    </w:p>
    <w:p>
      <w:pPr>
        <w:jc w:val="both"/>
        <w:ind w:left="1300" w:hanging="320"/>
        <w:spacing w:after="0" w:line="255" w:lineRule="auto"/>
        <w:tabs>
          <w:tab w:leader="none" w:pos="12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on Form S-8 filed with the Securities and Exchange Commission (the “SEC”) on September 27, 2021 (</w:t>
      </w:r>
      <w:hyperlink r:id="rId12">
        <w:r>
          <w:rPr>
            <w:rFonts w:ascii="Times New Roman" w:cs="Times New Roman" w:eastAsia="Times New Roman" w:hAnsi="Times New Roman"/>
            <w:sz w:val="18"/>
            <w:szCs w:val="18"/>
            <w:u w:val="single" w:color="auto"/>
            <w:color w:val="0000FF"/>
          </w:rPr>
          <w:t>Registration No. 333-259815</w:t>
        </w:r>
      </w:hyperlink>
      <w:r>
        <w:rPr>
          <w:rFonts w:ascii="Times New Roman" w:cs="Times New Roman" w:eastAsia="Times New Roman" w:hAnsi="Times New Roman"/>
          <w:sz w:val="18"/>
          <w:szCs w:val="18"/>
          <w:color w:val="auto"/>
        </w:rPr>
        <w:t>), which registered certain shares of the Company’s Class A common stock, par value $0.0001 per share (“Class A Common Stock”), including 1,847,920 shares of Class A Common Stock issuable upon the vesting of certain RSU awards (the “Earn-Out RSUs”) that were expected to be granted to certain former equity award holders of Sema4 (as defined below) and certain employees of the Registrant pursuant to the terms of that certain Agreement and Plan of Merger, dated as of February 9, 2021 (as amended, the “Merger Agreement”), by and among CM Life Sciences, Inc., S-IV Sub, Inc. and Mount Sinai Genomics, Inc. d/b/a Sema4 (“Sema4”);</w:t>
      </w:r>
    </w:p>
    <w:p>
      <w:pPr>
        <w:spacing w:after="0" w:line="21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on Form S-8 filed with the SEC on October 25, 2021 (</w:t>
      </w:r>
      <w:hyperlink r:id="rId13">
        <w:r>
          <w:rPr>
            <w:rFonts w:ascii="Times New Roman" w:cs="Times New Roman" w:eastAsia="Times New Roman" w:hAnsi="Times New Roman"/>
            <w:sz w:val="18"/>
            <w:szCs w:val="18"/>
            <w:u w:val="single" w:color="auto"/>
            <w:color w:val="0000FF"/>
          </w:rPr>
          <w:t>Registration No. 333-260481</w:t>
        </w:r>
      </w:hyperlink>
      <w:r>
        <w:rPr>
          <w:rFonts w:ascii="Times New Roman" w:cs="Times New Roman" w:eastAsia="Times New Roman" w:hAnsi="Times New Roman"/>
          <w:sz w:val="18"/>
          <w:szCs w:val="18"/>
          <w:color w:val="auto"/>
        </w:rPr>
        <w:t>), which registered an additional 841,844 shares of Class A Common Stock issuable upon the vesting of certain additional Earn-Out RSUs that were expected to be granted to certain former equity award holders of Sema4 and certain employees of the Registrant pursuant to the terms of the Merger Agreement; and</w:t>
      </w:r>
    </w:p>
    <w:p>
      <w:pPr>
        <w:spacing w:after="0" w:line="206"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2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on Form S-8 filed with the SEC on January 25, 2022 (</w:t>
      </w:r>
      <w:hyperlink r:id="rId14">
        <w:r>
          <w:rPr>
            <w:rFonts w:ascii="Times New Roman" w:cs="Times New Roman" w:eastAsia="Times New Roman" w:hAnsi="Times New Roman"/>
            <w:sz w:val="18"/>
            <w:szCs w:val="18"/>
            <w:u w:val="single" w:color="auto"/>
            <w:color w:val="0000FF"/>
          </w:rPr>
          <w:t>Registration No. 333-262338</w:t>
        </w:r>
      </w:hyperlink>
      <w:r>
        <w:rPr>
          <w:rFonts w:ascii="Times New Roman" w:cs="Times New Roman" w:eastAsia="Times New Roman" w:hAnsi="Times New Roman"/>
          <w:sz w:val="18"/>
          <w:szCs w:val="18"/>
          <w:color w:val="auto"/>
        </w:rPr>
        <w:t>), which registered certain shares of Class A Common Stock and also contained a reoffer prospectus (the “Reoffer Prospectus”) that may be used for resales by certain selling stockholders named therein (the “Selling Stockholders”) of certain shares of Class A Common Stock, including 1,921,064 shares of Class A Common Stock issuable to the Selling Stockholders upon the vesting of the Earn-Out RSUs that had been or may have been granted by the Registrant to the Selling Stockholders pursuant to the terms of the Merger Agreement.</w:t>
      </w:r>
    </w:p>
    <w:p>
      <w:pPr>
        <w:spacing w:after="0" w:line="210" w:lineRule="exact"/>
        <w:rPr>
          <w:rFonts w:ascii="Times New Roman" w:cs="Times New Roman" w:eastAsia="Times New Roman" w:hAnsi="Times New Roman"/>
          <w:sz w:val="18"/>
          <w:szCs w:val="18"/>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“Earn-Out Period” under the Earn-Out RSUs has expired in accordance with the terms thereof and, as a result, none of the 1,921,064 shares of Class A Common Stock (the “Earn-Out RSU Shares”) previously registered pursuant to the Registration Statements will be issued thereunder. In accordance with the undertakings made by the Company in the Registration Statements to remove from registration by means of a post-effective amendment any of the securities that remain unsold at the termination of the offering, the Post-Effective Amendments are being filed to remove from registration all of the Earn-Out RSU Shares previously registered for (i) offering and sale by Registrant pursuant to the Earn-Out RSUs and (ii) offering and resale by the Selling Stockholders pursuant to the Reoffer Prospectus, and the Registration Statements are hereby amended, as appropriate, to reflect the deregistration of such Earn-Out RSU Shares. No other securities registered for offering, sale and/or resale pursuant to the Registration Statements (including pursuant to the Reoffer Prospectus) are being deregistered hereby, and these Post-Effective Amendments shall not affect any awards or purchase rights granted or to be granted under the Company’s Amended and Restated 2021 Equity Incentive Plan, the Company’s 2021 Employee Stock Purchase Plan or the Mount Sinai Genomics, Inc. 2017 Equity Incentive Plan.</w:t>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these Post-Effective Amendments to the Registration Statements to be signed on its behalf by the undersigned, thereunto duly authorized, in the City of Stamford, State of Connecticut, on the twentieth day of February, 2025.</w:t>
      </w: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ind w:left="20"/>
        <w:spacing w:after="0" w:line="232" w:lineRule="auto"/>
        <w:tabs>
          <w:tab w:leader="none" w:pos="3940" w:val="left"/>
        </w:tabs>
        <w:rPr>
          <w:sz w:val="20"/>
          <w:szCs w:val="20"/>
          <w:color w:val="auto"/>
        </w:rPr>
      </w:pPr>
      <w:r>
        <w:rPr>
          <w:rFonts w:ascii="Times New Roman" w:cs="Times New Roman" w:eastAsia="Times New Roman" w:hAnsi="Times New Roman"/>
          <w:sz w:val="36"/>
          <w:szCs w:val="36"/>
          <w:color w:val="auto"/>
          <w:vertAlign w:val="subscript"/>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151765</wp:posOffset>
            </wp:positionV>
            <wp:extent cx="4629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2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Katherine Stueland</w:t>
      </w:r>
    </w:p>
    <w:p>
      <w:pPr>
        <w:spacing w:after="0" w:line="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of the Securities Act.</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s://www.sec.gov/Archives/edgar/data/1818331/000162828021019193/s-8.htm" TargetMode="External"/><Relationship Id="rId13" Type="http://schemas.openxmlformats.org/officeDocument/2006/relationships/hyperlink" Target="https://www.sec.gov/Archives/edgar/data/1818331/000162828021020443/s-8filingx102521.htm" TargetMode="External"/><Relationship Id="rId14" Type="http://schemas.openxmlformats.org/officeDocument/2006/relationships/hyperlink" Target="https://www.sec.gov/Archives/edgar/data/1818331/000181833122000020/sema4-sx8filingx124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2025-02-20T07:19:18Z</dcterms:created>
  <dcterms:modified xsi:type="dcterms:W3CDTF">2025-02-20T07:19:18Z</dcterms:modified>
</cp:coreProperties>
</file>