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 as supplemented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 dated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5715</wp:posOffset>
            </wp:positionV>
            <wp:extent cx="235712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71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236,223,401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7,236,667 Warrants to Purchase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240" w:firstLine="324"/>
        <w:spacing w:after="0" w:line="257" w:lineRule="auto"/>
        <w:rPr>
          <w:sz w:val="20"/>
          <w:szCs w:val="20"/>
          <w:color w:val="auto"/>
        </w:rPr>
      </w:pPr>
      <w:r>
        <w:rPr>
          <w:rFonts w:ascii="Arial" w:cs="Arial" w:eastAsia="Arial" w:hAnsi="Arial"/>
          <w:sz w:val="18"/>
          <w:szCs w:val="18"/>
          <w:color w:val="auto"/>
        </w:rPr>
        <w:t>This prospectus supplement supplements the prospectus dated August 12, 2021, as supplemented by Prospectus Supplement No. 1 dated August 16, 2021 (the “Prospectus”), which forms a part of our registration statement on Form S-1 (No. 333-258467). This prospectus supplement is being filed to update and supplement the information in the Prospectus with the information contained in our current report on Form 8-K, filed with the Securities and Exchange Commission (the “SEC”) on October 14, 2021 (the “Current Report”). Accordingly, we have attached the Current Report to this prospectus supplement.</w:t>
      </w:r>
    </w:p>
    <w:p>
      <w:pPr>
        <w:spacing w:after="0" w:line="80"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October 12, 2021, the last reported sales price of our common stock was $8.15 per share and the last reported sales price of our public warrants was $2.76 per warrant.</w:t>
      </w:r>
    </w:p>
    <w:p>
      <w:pPr>
        <w:spacing w:after="0" w:line="184" w:lineRule="exact"/>
        <w:rPr>
          <w:sz w:val="24"/>
          <w:szCs w:val="24"/>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w:t>
      </w:r>
    </w:p>
    <w:p>
      <w:pPr>
        <w:spacing w:after="0" w:line="18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any inconsistency between the information in the Prospectus and this prospectus supplement, you should rely on the information in this prospectus supplement.</w:t>
      </w:r>
    </w:p>
    <w:p>
      <w:pPr>
        <w:spacing w:after="0" w:line="170"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66" w:lineRule="exact"/>
        <w:rPr>
          <w:sz w:val="24"/>
          <w:szCs w:val="24"/>
          <w:color w:val="auto"/>
        </w:rPr>
      </w:pPr>
    </w:p>
    <w:p>
      <w:pPr>
        <w:ind w:right="720"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14, 2021</w:t>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14, 2021 (October 8, 2021)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001-39482</w:t>
            </w:r>
          </w:p>
        </w:tc>
        <w:tc>
          <w:tcPr>
            <w:tcW w:w="100" w:type="dxa"/>
            <w:vAlign w:val="bottom"/>
          </w:tcPr>
          <w:p>
            <w:pPr>
              <w:spacing w:after="0"/>
              <w:rPr>
                <w:sz w:val="20"/>
                <w:szCs w:val="20"/>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41"/>
        </w:trPr>
        <w:tc>
          <w:tcPr>
            <w:tcW w:w="4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22"/>
        </w:trPr>
        <w:tc>
          <w:tcPr>
            <w:tcW w:w="42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9"/>
                <w:szCs w:val="19"/>
                <w:color w:val="auto"/>
              </w:rPr>
            </w:pPr>
          </w:p>
        </w:tc>
        <w:tc>
          <w:tcPr>
            <w:tcW w:w="27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3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(800) 298-6470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4"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90"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Soliciting material pursuant to Rule 14a-12 under the Exchange Act (17 CFR 240.14a-12)</w:t>
      </w:r>
    </w:p>
    <w:p>
      <w:pPr>
        <w:spacing w:after="0" w:line="263"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Pre-commencement communications pursuant to Rule 14d-2(b) under the Exchange Act (17 CFR 240.14d-2(b))</w:t>
      </w:r>
    </w:p>
    <w:p>
      <w:pPr>
        <w:spacing w:after="0" w:line="277"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Pre-commencement communications pursuant to Rule 13e-4(c) under the Exchange Act (17 CFR 240.13e-4(c))</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Class A common stock, par value $0.0001 per share</w:t>
            </w: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SMFR</w:t>
            </w:r>
          </w:p>
        </w:tc>
        <w:tc>
          <w:tcPr>
            <w:tcW w:w="4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29"/>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22"/>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0"/>
                <w:szCs w:val="10"/>
                <w:color w:val="auto"/>
              </w:rPr>
            </w:pPr>
          </w:p>
        </w:tc>
        <w:tc>
          <w:tcPr>
            <w:tcW w:w="4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003" w:right="339" w:bottom="1440" w:gutter="0" w:footer="0" w:header="0"/>
        </w:sectPr>
      </w:pPr>
    </w:p>
    <w:bookmarkStart w:id="2" w:name="page3"/>
    <w:bookmarkEnd w:id="2"/>
    <w:p>
      <w:pPr>
        <w:ind w:right="200"/>
        <w:spacing w:after="0" w:line="309"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Sema4 Holdings Corp. (“Sema4 Holdings” or the “Company”) has received confirmation that James Coffin, Ph.D. the Company’s Treasurer from January 2021 to March 2021, and President and Chief Operating Officer since 2017, expects to be on short-term disability leave for medical reasons for approximately 90 days, commencing sometime in October 2021 (the “Leave”).</w:t>
      </w:r>
    </w:p>
    <w:p>
      <w:pPr>
        <w:spacing w:after="0" w:line="1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Leave, the Company’s Chief Financial Officer, Isaac Ro, and Chief Business Officer, Kareem Saad, will each perform functions previously performed by Dr. Coffin.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does not anticipate that the Leave will adversely impact the Company’s financial performance and timelines for its corporate objectives, research and development progress, or strategic partnerships and collaborations.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Except for historical information, this report contains certain forward-looking statements that involve known and unknown risk and uncertainties. These forward-looking statements relate to the Company’s expectations regarding the Leave. These risks and uncertainties are further qualified by important factors that could cause actual results to differ materially from future results, performance or achievements expressed or implied by those in the forward-looking statements made in this release. These factors include, without limitation, Dr. Coffin’s medical condition, and other risks and uncertainties identified in Sema4 Holdings Corp.’s filings with the Securities and Exchange Commission.</w:t>
      </w:r>
    </w:p>
    <w:p>
      <w:pPr>
        <w:sectPr>
          <w:pgSz w:w="11900" w:h="16838" w:orient="portrait"/>
          <w:cols w:equalWidth="0" w:num="1">
            <w:col w:w="11240"/>
          </w:cols>
          <w:pgMar w:left="320" w:top="1440" w:right="339" w:bottom="1440" w:gutter="0" w:footer="0" w:header="0"/>
        </w:sectPr>
      </w:pPr>
    </w:p>
    <w:bookmarkStart w:id="3" w:name="page4"/>
    <w:bookmarkEnd w:id="3"/>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900" w:type="dxa"/>
            <w:vAlign w:val="bottom"/>
            <w:gridSpan w:val="2"/>
          </w:tcPr>
          <w:p>
            <w:pPr>
              <w:ind w:left="1320"/>
              <w:spacing w:after="0"/>
              <w:rPr>
                <w:sz w:val="20"/>
                <w:szCs w:val="20"/>
                <w:color w:val="auto"/>
              </w:rPr>
            </w:pPr>
            <w:r>
              <w:rPr>
                <w:rFonts w:ascii="Arial" w:cs="Arial" w:eastAsia="Arial" w:hAnsi="Arial"/>
                <w:sz w:val="20"/>
                <w:szCs w:val="20"/>
                <w:b w:val="1"/>
                <w:bCs w:val="1"/>
                <w:color w:val="auto"/>
              </w:rPr>
              <w:t>Sema4 Holdings Corp.</w:t>
            </w:r>
          </w:p>
        </w:tc>
      </w:tr>
      <w:tr>
        <w:trPr>
          <w:trHeight w:val="621"/>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2900" w:type="dxa"/>
            <w:vAlign w:val="bottom"/>
          </w:tcPr>
          <w:p>
            <w:pPr>
              <w:ind w:left="220"/>
              <w:spacing w:after="0"/>
              <w:rPr>
                <w:sz w:val="20"/>
                <w:szCs w:val="20"/>
                <w:color w:val="auto"/>
              </w:rPr>
            </w:pPr>
            <w:r>
              <w:rPr>
                <w:rFonts w:ascii="Arial" w:cs="Arial" w:eastAsia="Arial" w:hAnsi="Arial"/>
                <w:sz w:val="20"/>
                <w:szCs w:val="20"/>
                <w:color w:val="auto"/>
              </w:rPr>
              <w:t>October 14, 2021</w:t>
            </w:r>
          </w:p>
        </w:tc>
        <w:tc>
          <w:tcPr>
            <w:tcW w:w="2200" w:type="dxa"/>
            <w:vAlign w:val="bottom"/>
          </w:tcPr>
          <w:p>
            <w:pPr>
              <w:ind w:left="1320"/>
              <w:spacing w:after="0"/>
              <w:rPr>
                <w:sz w:val="20"/>
                <w:szCs w:val="20"/>
                <w:color w:val="auto"/>
              </w:rPr>
            </w:pPr>
            <w:r>
              <w:rPr>
                <w:rFonts w:ascii="Arial" w:cs="Arial" w:eastAsia="Arial" w:hAnsi="Arial"/>
                <w:sz w:val="20"/>
                <w:szCs w:val="20"/>
                <w:color w:val="auto"/>
              </w:rPr>
              <w:t>By:</w:t>
            </w:r>
          </w:p>
        </w:tc>
        <w:tc>
          <w:tcPr>
            <w:tcW w:w="4700" w:type="dxa"/>
            <w:vAlign w:val="bottom"/>
          </w:tcPr>
          <w:p>
            <w:pPr>
              <w:ind w:left="40"/>
              <w:spacing w:after="0"/>
              <w:rPr>
                <w:sz w:val="20"/>
                <w:szCs w:val="20"/>
                <w:color w:val="auto"/>
              </w:rPr>
            </w:pPr>
            <w:r>
              <w:rPr>
                <w:rFonts w:ascii="Arial" w:cs="Arial" w:eastAsia="Arial" w:hAnsi="Arial"/>
                <w:sz w:val="20"/>
                <w:szCs w:val="20"/>
                <w:color w:val="auto"/>
              </w:rPr>
              <w:t>/s/ Eric Schadt</w:t>
            </w:r>
          </w:p>
        </w:tc>
      </w:tr>
      <w:tr>
        <w:trPr>
          <w:trHeight w:val="23"/>
        </w:trPr>
        <w:tc>
          <w:tcPr>
            <w:tcW w:w="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Name:</w:t>
            </w:r>
          </w:p>
        </w:tc>
        <w:tc>
          <w:tcPr>
            <w:tcW w:w="470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83"/>
        </w:trPr>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Title:</w:t>
            </w:r>
          </w:p>
        </w:tc>
        <w:tc>
          <w:tcPr>
            <w:tcW w:w="470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2021-10-15T05:21:05Z</dcterms:created>
  <dcterms:modified xsi:type="dcterms:W3CDTF">2021-10-15T05:21:05Z</dcterms:modified>
</cp:coreProperties>
</file>