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29"/>
          <w:szCs w:val="29"/>
          <w:color w:val="auto"/>
          <w:vertAlign w:val="superscript"/>
        </w:rPr>
        <w:t>Barney</w:t>
      </w:r>
      <w:r>
        <w:rPr>
          <w:sz w:val="20"/>
          <w:szCs w:val="20"/>
          <w:color w:val="auto"/>
        </w:rPr>
        <w:tab/>
      </w:r>
      <w:r>
        <w:rPr>
          <w:rFonts w:ascii="Times New Roman" w:cs="Times New Roman" w:eastAsia="Times New Roman" w:hAnsi="Times New Roman"/>
          <w:sz w:val="18"/>
          <w:szCs w:val="18"/>
          <w:color w:val="auto"/>
        </w:rPr>
        <w:t>16415</w:t>
      </w:r>
      <w:r>
        <w:rPr>
          <w:sz w:val="20"/>
          <w:szCs w:val="20"/>
          <w:color w:val="auto"/>
        </w:rPr>
        <w:tab/>
      </w:r>
      <w:r>
        <w:rPr>
          <w:rFonts w:ascii="Times New Roman" w:cs="Times New Roman" w:eastAsia="Times New Roman" w:hAnsi="Times New Roman"/>
          <w:sz w:val="18"/>
          <w:szCs w:val="18"/>
          <w:color w:val="auto"/>
        </w:rPr>
        <w:t>1037500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29288739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04/29/2026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05/02/2022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2172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gridSpan w:val="2"/>
          </w:tcPr>
          <w:p>
            <w:pPr>
              <w:ind w:left="40"/>
              <w:spacing w:after="0" w:line="337" w:lineRule="exact"/>
              <w:rPr>
                <w:sz w:val="20"/>
                <w:szCs w:val="20"/>
                <w:color w:val="auto"/>
              </w:rPr>
            </w:pPr>
            <w:r>
              <w:rPr>
                <w:rFonts w:ascii="Times New Roman" w:cs="Times New Roman" w:eastAsia="Times New Roman" w:hAnsi="Times New Roman"/>
                <w:sz w:val="39"/>
                <w:szCs w:val="39"/>
                <w:color w:val="auto"/>
                <w:vertAlign w:val="subscript"/>
              </w:rPr>
              <w:t>12/09/2022</w:t>
            </w:r>
            <w:r>
              <w:rPr>
                <w:rFonts w:ascii="Times New Roman" w:cs="Times New Roman" w:eastAsia="Times New Roman" w:hAnsi="Times New Roman"/>
                <w:sz w:val="20"/>
                <w:szCs w:val="20"/>
                <w:color w:val="auto"/>
              </w:rPr>
              <w:t xml:space="preserve"> compensation -</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3686</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12/09/2022 Compensation</w:t>
            </w:r>
          </w:p>
        </w:tc>
        <w:tc>
          <w:tcPr>
            <w:tcW w:w="0" w:type="dxa"/>
            <w:vAlign w:val="bottom"/>
          </w:tcPr>
          <w:p>
            <w:pPr>
              <w:spacing w:after="0"/>
              <w:rPr>
                <w:sz w:val="1"/>
                <w:szCs w:val="1"/>
                <w:color w:val="auto"/>
              </w:rPr>
            </w:pPr>
          </w:p>
        </w:tc>
      </w:tr>
      <w:tr>
        <w:trPr>
          <w:trHeight w:val="148"/>
        </w:trPr>
        <w:tc>
          <w:tcPr>
            <w:tcW w:w="142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Common Stock</w:t>
            </w:r>
          </w:p>
        </w:tc>
        <w:tc>
          <w:tcPr>
            <w:tcW w:w="1060" w:type="dxa"/>
            <w:vAlign w:val="bottom"/>
          </w:tcPr>
          <w:p>
            <w:pPr>
              <w:spacing w:after="0"/>
              <w:rPr>
                <w:sz w:val="12"/>
                <w:szCs w:val="12"/>
                <w:color w:val="auto"/>
              </w:rPr>
            </w:pPr>
          </w:p>
        </w:tc>
        <w:tc>
          <w:tcPr>
            <w:tcW w:w="158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Restricted Stock</w:t>
            </w: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04/26/2023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10557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04/26/2023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01/29/2026 1653</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155375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03/04/2026 25459</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2001371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03/09/2026 3678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319059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03/16/2026 17179</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1319291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03/26/2026 46933</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2964841</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right="120"/>
        <w:spacing w:after="0" w:line="258"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Represents approximately 16,415 shares to be sold on behalf of the Reporting Person, including 1) 2,172 shares to be sold in connection with vesting of RSUs on April 29, 2026; 2) approximately 3,686 shares to be sold in connection with anticipated vesting of RSUs on June 9, 2026; and 3) approximately 10,557 shares to be sold in connection with anticipated vesting of RSUs on June 16, 2026. Shares sold in the past 3 months by the Reporting Person include 94,902 shares sold to cover tax withholding obligations in connection with vesting and settlement of restricted stock units.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04/29/2026</w:t>
      </w:r>
    </w:p>
    <w:p>
      <w:pPr>
        <w:sectPr>
          <w:pgSz w:w="11900" w:h="16838" w:orient="portrait"/>
          <w:cols w:equalWidth="0" w:num="2">
            <w:col w:w="820" w:space="120"/>
            <w:col w:w="1030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2026-04-29T18:07:40Z</dcterms:created>
  <dcterms:modified xsi:type="dcterms:W3CDTF">2026-04-29T18:07:40Z</dcterms:modified>
</cp:coreProperties>
</file>