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389255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2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SCHEDULE 13D/A</w:t>
      </w:r>
    </w:p>
    <w:p>
      <w:pPr>
        <w:spacing w:after="0" w:line="21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(Amendment No. 3*)</w:t>
      </w:r>
    </w:p>
    <w:p>
      <w:pPr>
        <w:spacing w:after="0" w:line="17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GeneDx Holdings,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1685290</wp:posOffset>
            </wp:positionH>
            <wp:positionV relativeFrom="paragraph">
              <wp:posOffset>27940</wp:posOffset>
            </wp:positionV>
            <wp:extent cx="37719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771900" cy="8255"/>
                    </a:xfrm>
                    <a:prstGeom prst="rect">
                      <a:avLst/>
                    </a:prstGeom>
                    <a:noFill/>
                  </pic:spPr>
                </pic:pic>
              </a:graphicData>
            </a:graphic>
          </wp:anchor>
        </w:drawing>
      </w:r>
    </w:p>
    <w:p>
      <w:pPr>
        <w:spacing w:after="0" w:line="3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u w:val="single" w:color="auto"/>
          <w:color w:val="auto"/>
        </w:rPr>
        <w:t>Class A Common Stock, par value $0.0001 per share</w:t>
      </w:r>
    </w:p>
    <w:p>
      <w:pPr>
        <w:spacing w:after="0" w:line="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p>
      <w:pPr>
        <w:spacing w:after="0" w:line="21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81663L200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19685</wp:posOffset>
            </wp:positionV>
            <wp:extent cx="10629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1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(CUSIP Number)</w:t>
      </w:r>
    </w:p>
    <w:p>
      <w:pPr>
        <w:spacing w:after="0" w:line="21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Steven D. Rubin</w:t>
      </w:r>
    </w:p>
    <w:p>
      <w:pPr>
        <w:spacing w:after="0" w:line="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Executive Vice President - Administration</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OPKO Health, Inc.</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4400 Biscayne Boulevard</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Miami, Florida 33137</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Telephone: (305) 575-4100</w:t>
      </w:r>
    </w:p>
    <w:p>
      <w:pPr>
        <w:spacing w:after="0" w:line="21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(Name, address and telephone number of person authorized to receive notices and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1290955</wp:posOffset>
            </wp:positionH>
            <wp:positionV relativeFrom="paragraph">
              <wp:posOffset>-125095</wp:posOffset>
            </wp:positionV>
            <wp:extent cx="45605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560570" cy="8890"/>
                    </a:xfrm>
                    <a:prstGeom prst="rect">
                      <a:avLst/>
                    </a:prstGeom>
                    <a:noFill/>
                  </pic:spPr>
                </pic:pic>
              </a:graphicData>
            </a:graphic>
          </wp:anchor>
        </w:drawing>
      </w:r>
    </w:p>
    <w:p>
      <w:pPr>
        <w:spacing w:after="0" w:line="1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communications)</w:t>
      </w:r>
    </w:p>
    <w:p>
      <w:pPr>
        <w:spacing w:after="0" w:line="200" w:lineRule="exact"/>
        <w:rPr>
          <w:sz w:val="24"/>
          <w:szCs w:val="24"/>
          <w:color w:val="auto"/>
        </w:rPr>
      </w:pPr>
    </w:p>
    <w:p>
      <w:pPr>
        <w:spacing w:after="0" w:line="219" w:lineRule="exact"/>
        <w:rPr>
          <w:sz w:val="24"/>
          <w:szCs w:val="24"/>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July 3,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2293620</wp:posOffset>
            </wp:positionH>
            <wp:positionV relativeFrom="paragraph">
              <wp:posOffset>19685</wp:posOffset>
            </wp:positionV>
            <wp:extent cx="25628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1"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(Date of event which requires filing of this</w:t>
      </w:r>
    </w:p>
    <w:p>
      <w:pPr>
        <w:spacing w:after="0" w:line="2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statement)</w:t>
      </w:r>
    </w:p>
    <w:p>
      <w:pPr>
        <w:spacing w:after="0" w:line="207" w:lineRule="exact"/>
        <w:rPr>
          <w:sz w:val="24"/>
          <w:szCs w:val="24"/>
          <w:color w:val="auto"/>
        </w:rPr>
      </w:pPr>
    </w:p>
    <w:p>
      <w:pPr>
        <w:ind w:right="180"/>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which is the subject of this Schedule 13D, and is filing this schedule because of Rule 13d-1(e), Rule 13d-1(f) or Rule 13d-1(g), check the following box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166" w:lineRule="exact"/>
        <w:rPr>
          <w:sz w:val="24"/>
          <w:szCs w:val="24"/>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 </w:t>
      </w:r>
      <w:r>
        <w:rPr>
          <w:rFonts w:ascii="Times New Roman" w:cs="Times New Roman" w:eastAsia="Times New Roman" w:hAnsi="Times New Roman"/>
          <w:sz w:val="18"/>
          <w:szCs w:val="18"/>
          <w:color w:val="auto"/>
        </w:rPr>
        <w:t>Schedules filed in paper format shall include a signed original and five copies of the schedule, including all exhibits. See Rule 13d-7(b) for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to whom copies are to be sent.</w:t>
      </w:r>
    </w:p>
    <w:p>
      <w:pPr>
        <w:spacing w:after="0" w:line="159" w:lineRule="exact"/>
        <w:rPr>
          <w:sz w:val="24"/>
          <w:szCs w:val="24"/>
          <w:color w:val="auto"/>
        </w:rPr>
      </w:pPr>
    </w:p>
    <w:p>
      <w:pPr>
        <w:ind w:left="460" w:right="200" w:hanging="452"/>
        <w:spacing w:after="0" w:line="282" w:lineRule="auto"/>
        <w:tabs>
          <w:tab w:leader="none" w:pos="4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purpose of Section 18 of the Securities Exchange Act of 1934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xml:space="preserve">”) or otherwise subject to the liabilities of that section of the Act but shall be subject to all other provisions of the Act (however, see the </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611505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91" w:right="399" w:bottom="1440" w:gutter="0" w:footer="0" w:header="0"/>
        </w:sectPr>
      </w:pPr>
    </w:p>
    <w:bookmarkStart w:id="1" w:name="page2"/>
    <w:bookmarkEnd w:id="1"/>
    <w:p>
      <w:pPr>
        <w:spacing w:after="0"/>
        <w:tabs>
          <w:tab w:leader="none" w:pos="5100" w:val="left"/>
          <w:tab w:leader="none" w:pos="10300" w:val="left"/>
        </w:tabs>
        <w:rPr>
          <w:sz w:val="20"/>
          <w:szCs w:val="20"/>
          <w:color w:val="auto"/>
        </w:rPr>
      </w:pPr>
      <w:r>
        <w:rPr>
          <w:rFonts w:ascii="Times New Roman" w:cs="Times New Roman" w:eastAsia="Times New Roman" w:hAnsi="Times New Roman"/>
          <w:sz w:val="18"/>
          <w:szCs w:val="18"/>
          <w:color w:val="auto"/>
        </w:rPr>
        <w:t>CUSIP No. 81663L200</w:t>
      </w:r>
      <w:r>
        <w:rPr>
          <w:sz w:val="20"/>
          <w:szCs w:val="20"/>
          <w:color w:val="auto"/>
        </w:rPr>
        <w:tab/>
      </w:r>
      <w:r>
        <w:rPr>
          <w:rFonts w:ascii="Times New Roman" w:cs="Times New Roman" w:eastAsia="Times New Roman" w:hAnsi="Times New Roman"/>
          <w:sz w:val="18"/>
          <w:szCs w:val="18"/>
          <w:color w:val="auto"/>
        </w:rPr>
        <w:t>Schedule 13D</w:t>
      </w:r>
      <w:r>
        <w:rPr>
          <w:sz w:val="20"/>
          <w:szCs w:val="20"/>
          <w:color w:val="auto"/>
        </w:rPr>
        <w:tab/>
      </w:r>
      <w:r>
        <w:rPr>
          <w:rFonts w:ascii="Times New Roman" w:cs="Times New Roman" w:eastAsia="Times New Roman" w:hAnsi="Times New Roman"/>
          <w:sz w:val="17"/>
          <w:szCs w:val="17"/>
          <w:color w:val="auto"/>
        </w:rPr>
        <w:t>PAGE 2 of 4</w:t>
      </w:r>
    </w:p>
    <w:p>
      <w:pPr>
        <w:spacing w:after="0" w:line="200" w:lineRule="exact"/>
        <w:rPr>
          <w:sz w:val="20"/>
          <w:szCs w:val="20"/>
          <w:color w:val="auto"/>
        </w:rPr>
      </w:pPr>
    </w:p>
    <w:p>
      <w:pPr>
        <w:spacing w:after="0" w:line="255" w:lineRule="exact"/>
        <w:rPr>
          <w:sz w:val="20"/>
          <w:szCs w:val="20"/>
          <w:color w:val="auto"/>
        </w:rPr>
      </w:pPr>
    </w:p>
    <w:p>
      <w:pPr>
        <w:ind w:left="700" w:hanging="553"/>
        <w:spacing w:after="0"/>
        <w:tabs>
          <w:tab w:leader="none" w:pos="70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-129540</wp:posOffset>
            </wp:positionV>
            <wp:extent cx="7134225" cy="56172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4225" cy="5617210"/>
                    </a:xfrm>
                    <a:prstGeom prst="rect">
                      <a:avLst/>
                    </a:prstGeom>
                    <a:noFill/>
                  </pic:spPr>
                </pic:pic>
              </a:graphicData>
            </a:graphic>
          </wp:anchor>
        </w:drawing>
      </w:r>
    </w:p>
    <w:p>
      <w:pPr>
        <w:spacing w:after="0" w:line="20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OPKO Health, Inc.</w:t>
      </w:r>
    </w:p>
    <w:p>
      <w:pPr>
        <w:spacing w:after="0" w:line="27" w:lineRule="exact"/>
        <w:rPr>
          <w:sz w:val="20"/>
          <w:szCs w:val="20"/>
          <w:color w:val="auto"/>
        </w:rPr>
      </w:pPr>
    </w:p>
    <w:p>
      <w:pPr>
        <w:ind w:left="700" w:hanging="553"/>
        <w:spacing w:after="0"/>
        <w:tabs>
          <w:tab w:leader="none" w:pos="70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THE APPROPRIATE BOX IF A MEMBER OF A GROUP</w:t>
      </w:r>
    </w:p>
    <w:p>
      <w:pPr>
        <w:spacing w:after="0" w:line="180" w:lineRule="exact"/>
        <w:rPr>
          <w:sz w:val="20"/>
          <w:szCs w:val="20"/>
          <w:color w:val="auto"/>
        </w:rPr>
      </w:pPr>
    </w:p>
    <w:p>
      <w:pPr>
        <w:ind w:left="700"/>
        <w:spacing w:after="0" w:line="207" w:lineRule="exact"/>
        <w:tabs>
          <w:tab w:leader="none" w:pos="150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83" w:lineRule="exact"/>
        <w:rPr>
          <w:sz w:val="20"/>
          <w:szCs w:val="20"/>
          <w:color w:val="auto"/>
        </w:rPr>
      </w:pPr>
    </w:p>
    <w:p>
      <w:pPr>
        <w:ind w:left="700" w:hanging="553"/>
        <w:spacing w:after="0"/>
        <w:tabs>
          <w:tab w:leader="none" w:pos="70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219" w:lineRule="exact"/>
        <w:rPr>
          <w:sz w:val="20"/>
          <w:szCs w:val="20"/>
          <w:color w:val="auto"/>
        </w:rPr>
      </w:pPr>
    </w:p>
    <w:p>
      <w:pPr>
        <w:ind w:left="700" w:hanging="553"/>
        <w:spacing w:after="0"/>
        <w:tabs>
          <w:tab w:leader="none" w:pos="70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SOURCE OF FUNDS</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OO</w:t>
      </w:r>
    </w:p>
    <w:p>
      <w:pPr>
        <w:spacing w:after="0" w:line="27" w:lineRule="exact"/>
        <w:rPr>
          <w:sz w:val="20"/>
          <w:szCs w:val="20"/>
          <w:color w:val="auto"/>
        </w:rPr>
      </w:pPr>
    </w:p>
    <w:p>
      <w:pPr>
        <w:ind w:left="700" w:hanging="553"/>
        <w:spacing w:after="0" w:line="207" w:lineRule="exact"/>
        <w:tabs>
          <w:tab w:leader="none" w:pos="70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CHECK BOX IF DISCLOSURE OF LEGAL PROCEEDINGS IS REQUIRED PURSUANT TO ITEM 2(d) or 2(e) </w:t>
      </w:r>
      <w:r>
        <w:rPr>
          <w:rFonts w:ascii="MS PGothic" w:cs="MS PGothic" w:eastAsia="MS PGothic" w:hAnsi="MS PGothic"/>
          <w:sz w:val="18"/>
          <w:szCs w:val="18"/>
          <w:color w:val="auto"/>
        </w:rPr>
        <w:t>☒</w:t>
      </w:r>
    </w:p>
    <w:p>
      <w:pPr>
        <w:spacing w:after="0" w:line="234" w:lineRule="exact"/>
        <w:rPr>
          <w:sz w:val="20"/>
          <w:szCs w:val="20"/>
          <w:color w:val="auto"/>
        </w:rPr>
      </w:pPr>
    </w:p>
    <w:p>
      <w:pPr>
        <w:ind w:left="700" w:hanging="553"/>
        <w:spacing w:after="0"/>
        <w:tabs>
          <w:tab w:leader="none" w:pos="70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w:t>
      </w:r>
    </w:p>
    <w:p>
      <w:pPr>
        <w:spacing w:after="0" w:line="225" w:lineRule="exact"/>
        <w:rPr>
          <w:rFonts w:ascii="Times New Roman" w:cs="Times New Roman" w:eastAsia="Times New Roman" w:hAnsi="Times New Roman"/>
          <w:sz w:val="18"/>
          <w:szCs w:val="18"/>
          <w:b w:val="1"/>
          <w:bCs w:val="1"/>
          <w:color w:val="auto"/>
        </w:rPr>
      </w:pPr>
    </w:p>
    <w:p>
      <w:pPr>
        <w:ind w:left="7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Delaware</w:t>
      </w:r>
    </w:p>
    <w:p>
      <w:pPr>
        <w:spacing w:after="0" w:line="27" w:lineRule="exact"/>
        <w:rPr>
          <w:rFonts w:ascii="Times New Roman" w:cs="Times New Roman" w:eastAsia="Times New Roman" w:hAnsi="Times New Roman"/>
          <w:sz w:val="18"/>
          <w:szCs w:val="18"/>
          <w:b w:val="1"/>
          <w:bCs w:val="1"/>
          <w:color w:val="auto"/>
        </w:rPr>
      </w:pPr>
    </w:p>
    <w:p>
      <w:pPr>
        <w:ind w:left="18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7</w:t>
      </w:r>
      <w:r>
        <w:rPr>
          <w:rFonts w:ascii="Times New Roman" w:cs="Times New Roman" w:eastAsia="Times New Roman" w:hAnsi="Times New Roman"/>
          <w:sz w:val="17"/>
          <w:szCs w:val="17"/>
          <w:color w:val="auto"/>
        </w:rPr>
        <w:t>SOLE VOTING POWER</w:t>
      </w:r>
    </w:p>
    <w:p>
      <w:pPr>
        <w:spacing w:after="0" w:line="220"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14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NUMBER OF</w:t>
            </w:r>
          </w:p>
        </w:tc>
        <w:tc>
          <w:tcPr>
            <w:tcW w:w="580" w:type="dxa"/>
            <w:vAlign w:val="bottom"/>
            <w:tcBorders>
              <w:bottom w:val="single" w:sz="8" w:color="auto"/>
            </w:tcBorders>
          </w:tcPr>
          <w:p>
            <w:pPr>
              <w:spacing w:after="0"/>
              <w:rPr>
                <w:sz w:val="20"/>
                <w:szCs w:val="20"/>
                <w:color w:val="auto"/>
              </w:rPr>
            </w:pPr>
          </w:p>
        </w:tc>
        <w:tc>
          <w:tcPr>
            <w:tcW w:w="898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3,469,521Shares</w:t>
            </w:r>
          </w:p>
        </w:tc>
      </w:tr>
      <w:tr>
        <w:trPr>
          <w:trHeight w:val="191"/>
        </w:trPr>
        <w:tc>
          <w:tcPr>
            <w:tcW w:w="1460" w:type="dxa"/>
            <w:vAlign w:val="bottom"/>
          </w:tcPr>
          <w:p>
            <w:pPr>
              <w:jc w:val="center"/>
              <w:ind w:right="110"/>
              <w:spacing w:after="0" w:line="191" w:lineRule="exact"/>
              <w:rPr>
                <w:sz w:val="20"/>
                <w:szCs w:val="20"/>
                <w:color w:val="auto"/>
              </w:rPr>
            </w:pPr>
            <w:r>
              <w:rPr>
                <w:rFonts w:ascii="Times New Roman" w:cs="Times New Roman" w:eastAsia="Times New Roman" w:hAnsi="Times New Roman"/>
                <w:sz w:val="18"/>
                <w:szCs w:val="18"/>
                <w:color w:val="auto"/>
              </w:rPr>
              <w:t>SHARES</w:t>
            </w:r>
          </w:p>
        </w:tc>
        <w:tc>
          <w:tcPr>
            <w:tcW w:w="580" w:type="dxa"/>
            <w:vAlign w:val="bottom"/>
          </w:tcPr>
          <w:p>
            <w:pPr>
              <w:ind w:left="140"/>
              <w:spacing w:after="0" w:line="191" w:lineRule="exact"/>
              <w:rPr>
                <w:sz w:val="20"/>
                <w:szCs w:val="20"/>
                <w:color w:val="auto"/>
              </w:rPr>
            </w:pPr>
            <w:r>
              <w:rPr>
                <w:rFonts w:ascii="Times New Roman" w:cs="Times New Roman" w:eastAsia="Times New Roman" w:hAnsi="Times New Roman"/>
                <w:sz w:val="18"/>
                <w:szCs w:val="18"/>
                <w:b w:val="1"/>
                <w:bCs w:val="1"/>
                <w:color w:val="auto"/>
              </w:rPr>
              <w:t>8</w:t>
            </w:r>
          </w:p>
        </w:tc>
        <w:tc>
          <w:tcPr>
            <w:tcW w:w="8980" w:type="dxa"/>
            <w:vAlign w:val="bottom"/>
          </w:tcPr>
          <w:p>
            <w:pPr>
              <w:ind w:left="26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r>
      <w:tr>
        <w:trPr>
          <w:trHeight w:val="216"/>
        </w:trPr>
        <w:tc>
          <w:tcPr>
            <w:tcW w:w="14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7"/>
              </w:rPr>
              <w:t>BENEFICIALLY</w:t>
            </w:r>
          </w:p>
        </w:tc>
        <w:tc>
          <w:tcPr>
            <w:tcW w:w="580" w:type="dxa"/>
            <w:vAlign w:val="bottom"/>
          </w:tcPr>
          <w:p>
            <w:pPr>
              <w:spacing w:after="0"/>
              <w:rPr>
                <w:sz w:val="18"/>
                <w:szCs w:val="18"/>
                <w:color w:val="auto"/>
              </w:rPr>
            </w:pPr>
          </w:p>
        </w:tc>
        <w:tc>
          <w:tcPr>
            <w:tcW w:w="8980" w:type="dxa"/>
            <w:vAlign w:val="bottom"/>
          </w:tcPr>
          <w:p>
            <w:pPr>
              <w:spacing w:after="0"/>
              <w:rPr>
                <w:sz w:val="18"/>
                <w:szCs w:val="18"/>
                <w:color w:val="auto"/>
              </w:rPr>
            </w:pPr>
          </w:p>
        </w:tc>
      </w:tr>
      <w:tr>
        <w:trPr>
          <w:trHeight w:val="234"/>
        </w:trPr>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580" w:type="dxa"/>
            <w:vAlign w:val="bottom"/>
            <w:tcBorders>
              <w:bottom w:val="single" w:sz="8" w:color="auto"/>
            </w:tcBorders>
          </w:tcPr>
          <w:p>
            <w:pPr>
              <w:spacing w:after="0"/>
              <w:rPr>
                <w:sz w:val="20"/>
                <w:szCs w:val="20"/>
                <w:color w:val="auto"/>
              </w:rPr>
            </w:pPr>
          </w:p>
        </w:tc>
        <w:tc>
          <w:tcPr>
            <w:tcW w:w="8980" w:type="dxa"/>
            <w:vAlign w:val="bottom"/>
            <w:tcBorders>
              <w:bottom w:val="single" w:sz="8" w:color="auto"/>
            </w:tcBorders>
          </w:tcPr>
          <w:p>
            <w:pPr>
              <w:jc w:val="right"/>
              <w:ind w:right="7190"/>
              <w:spacing w:after="0"/>
              <w:rPr>
                <w:sz w:val="20"/>
                <w:szCs w:val="20"/>
                <w:color w:val="auto"/>
              </w:rPr>
            </w:pPr>
            <w:r>
              <w:rPr>
                <w:rFonts w:ascii="Times New Roman" w:cs="Times New Roman" w:eastAsia="Times New Roman" w:hAnsi="Times New Roman"/>
                <w:sz w:val="18"/>
                <w:szCs w:val="18"/>
                <w:color w:val="auto"/>
              </w:rPr>
              <w:t>-</w:t>
            </w:r>
          </w:p>
        </w:tc>
      </w:tr>
      <w:tr>
        <w:trPr>
          <w:trHeight w:val="191"/>
        </w:trPr>
        <w:tc>
          <w:tcPr>
            <w:tcW w:w="14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EACH</w:t>
            </w:r>
          </w:p>
        </w:tc>
        <w:tc>
          <w:tcPr>
            <w:tcW w:w="580" w:type="dxa"/>
            <w:vAlign w:val="bottom"/>
          </w:tcPr>
          <w:p>
            <w:pPr>
              <w:ind w:left="140"/>
              <w:spacing w:after="0" w:line="191" w:lineRule="exact"/>
              <w:rPr>
                <w:sz w:val="20"/>
                <w:szCs w:val="20"/>
                <w:color w:val="auto"/>
              </w:rPr>
            </w:pPr>
            <w:r>
              <w:rPr>
                <w:rFonts w:ascii="Times New Roman" w:cs="Times New Roman" w:eastAsia="Times New Roman" w:hAnsi="Times New Roman"/>
                <w:sz w:val="18"/>
                <w:szCs w:val="18"/>
                <w:b w:val="1"/>
                <w:bCs w:val="1"/>
                <w:color w:val="auto"/>
              </w:rPr>
              <w:t>9</w:t>
            </w:r>
          </w:p>
        </w:tc>
        <w:tc>
          <w:tcPr>
            <w:tcW w:w="8980" w:type="dxa"/>
            <w:vAlign w:val="bottom"/>
          </w:tcPr>
          <w:p>
            <w:pPr>
              <w:ind w:left="260"/>
              <w:spacing w:after="0" w:line="191" w:lineRule="exact"/>
              <w:rPr>
                <w:sz w:val="20"/>
                <w:szCs w:val="20"/>
                <w:color w:val="auto"/>
              </w:rPr>
            </w:pPr>
            <w:r>
              <w:rPr>
                <w:rFonts w:ascii="Times New Roman" w:cs="Times New Roman" w:eastAsia="Times New Roman" w:hAnsi="Times New Roman"/>
                <w:sz w:val="18"/>
                <w:szCs w:val="18"/>
                <w:color w:val="auto"/>
              </w:rPr>
              <w:t>SOLE DISPOSITIVE POWER</w:t>
            </w:r>
          </w:p>
        </w:tc>
      </w:tr>
      <w:tr>
        <w:trPr>
          <w:trHeight w:val="216"/>
        </w:trPr>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580" w:type="dxa"/>
            <w:vAlign w:val="bottom"/>
          </w:tcPr>
          <w:p>
            <w:pPr>
              <w:spacing w:after="0"/>
              <w:rPr>
                <w:sz w:val="18"/>
                <w:szCs w:val="18"/>
                <w:color w:val="auto"/>
              </w:rPr>
            </w:pPr>
          </w:p>
        </w:tc>
        <w:tc>
          <w:tcPr>
            <w:tcW w:w="8980" w:type="dxa"/>
            <w:vAlign w:val="bottom"/>
          </w:tcPr>
          <w:p>
            <w:pPr>
              <w:spacing w:after="0"/>
              <w:rPr>
                <w:sz w:val="18"/>
                <w:szCs w:val="18"/>
                <w:color w:val="auto"/>
              </w:rPr>
            </w:pPr>
          </w:p>
        </w:tc>
      </w:tr>
      <w:tr>
        <w:trPr>
          <w:trHeight w:val="216"/>
        </w:trPr>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580" w:type="dxa"/>
            <w:vAlign w:val="bottom"/>
          </w:tcPr>
          <w:p>
            <w:pPr>
              <w:spacing w:after="0"/>
              <w:rPr>
                <w:sz w:val="18"/>
                <w:szCs w:val="18"/>
                <w:color w:val="auto"/>
              </w:rPr>
            </w:pPr>
          </w:p>
        </w:tc>
        <w:tc>
          <w:tcPr>
            <w:tcW w:w="8980" w:type="dxa"/>
            <w:vAlign w:val="bottom"/>
          </w:tcPr>
          <w:p>
            <w:pPr>
              <w:spacing w:after="0"/>
              <w:rPr>
                <w:sz w:val="18"/>
                <w:szCs w:val="18"/>
                <w:color w:val="auto"/>
              </w:rPr>
            </w:pPr>
          </w:p>
        </w:tc>
      </w:tr>
      <w:tr>
        <w:trPr>
          <w:trHeight w:val="234"/>
        </w:trPr>
        <w:tc>
          <w:tcPr>
            <w:tcW w:w="14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7"/>
              </w:rPr>
              <w:t>WITH</w:t>
            </w:r>
          </w:p>
        </w:tc>
        <w:tc>
          <w:tcPr>
            <w:tcW w:w="580" w:type="dxa"/>
            <w:vAlign w:val="bottom"/>
            <w:tcBorders>
              <w:bottom w:val="single" w:sz="8" w:color="auto"/>
            </w:tcBorders>
          </w:tcPr>
          <w:p>
            <w:pPr>
              <w:spacing w:after="0"/>
              <w:rPr>
                <w:sz w:val="20"/>
                <w:szCs w:val="20"/>
                <w:color w:val="auto"/>
              </w:rPr>
            </w:pPr>
          </w:p>
        </w:tc>
        <w:tc>
          <w:tcPr>
            <w:tcW w:w="8980" w:type="dxa"/>
            <w:vAlign w:val="bottom"/>
            <w:tcBorders>
              <w:bottom w:val="single" w:sz="8" w:color="auto"/>
            </w:tcBorders>
          </w:tcPr>
          <w:p>
            <w:pPr>
              <w:jc w:val="right"/>
              <w:ind w:right="7190"/>
              <w:spacing w:after="0"/>
              <w:rPr>
                <w:sz w:val="20"/>
                <w:szCs w:val="20"/>
                <w:color w:val="auto"/>
              </w:rPr>
            </w:pPr>
            <w:r>
              <w:rPr>
                <w:rFonts w:ascii="Times New Roman" w:cs="Times New Roman" w:eastAsia="Times New Roman" w:hAnsi="Times New Roman"/>
                <w:sz w:val="18"/>
                <w:szCs w:val="18"/>
                <w:color w:val="auto"/>
              </w:rPr>
              <w:t>3,469,521</w:t>
            </w:r>
          </w:p>
        </w:tc>
      </w:tr>
      <w:tr>
        <w:trPr>
          <w:trHeight w:val="232"/>
        </w:trPr>
        <w:tc>
          <w:tcPr>
            <w:tcW w:w="1460" w:type="dxa"/>
            <w:vAlign w:val="bottom"/>
          </w:tcPr>
          <w:p>
            <w:pPr>
              <w:spacing w:after="0"/>
              <w:rPr>
                <w:sz w:val="20"/>
                <w:szCs w:val="20"/>
                <w:color w:val="auto"/>
              </w:rPr>
            </w:pPr>
          </w:p>
        </w:tc>
        <w:tc>
          <w:tcPr>
            <w:tcW w:w="5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10</w:t>
            </w:r>
          </w:p>
        </w:tc>
        <w:tc>
          <w:tcPr>
            <w:tcW w:w="8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SHARED DISPOSITIVE POWER</w:t>
            </w:r>
          </w:p>
        </w:tc>
      </w:tr>
    </w:tbl>
    <w:p>
      <w:pPr>
        <w:spacing w:after="0" w:line="17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720" w:hanging="573"/>
        <w:spacing w:after="0"/>
        <w:tabs>
          <w:tab w:leader="none" w:pos="7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 OWNED BY EACH REPORTING PERSON</w:t>
      </w:r>
    </w:p>
    <w:p>
      <w:pPr>
        <w:spacing w:after="0" w:line="22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3,469,521</w:t>
      </w:r>
    </w:p>
    <w:p>
      <w:pPr>
        <w:spacing w:after="0" w:line="27" w:lineRule="exact"/>
        <w:rPr>
          <w:sz w:val="20"/>
          <w:szCs w:val="20"/>
          <w:color w:val="auto"/>
        </w:rPr>
      </w:pPr>
    </w:p>
    <w:p>
      <w:pPr>
        <w:ind w:left="720" w:hanging="573"/>
        <w:spacing w:after="0" w:line="207" w:lineRule="exact"/>
        <w:tabs>
          <w:tab w:leader="none" w:pos="720" w:val="left"/>
        </w:tabs>
        <w:numPr>
          <w:ilvl w:val="1"/>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CHECK BOX IF THE AGGREGATE AMOUNT IN ROW (11) EXCLUDES CERTAIN SHARES (See Instructions) </w:t>
      </w:r>
      <w:r>
        <w:rPr>
          <w:rFonts w:ascii="MS PGothic" w:cs="MS PGothic" w:eastAsia="MS PGothic" w:hAnsi="MS PGothic"/>
          <w:sz w:val="18"/>
          <w:szCs w:val="18"/>
          <w:color w:val="auto"/>
        </w:rPr>
        <w:t>☐</w:t>
      </w:r>
    </w:p>
    <w:p>
      <w:pPr>
        <w:spacing w:after="0" w:line="233" w:lineRule="exact"/>
        <w:rPr>
          <w:rFonts w:ascii="Times New Roman" w:cs="Times New Roman" w:eastAsia="Times New Roman" w:hAnsi="Times New Roman"/>
          <w:sz w:val="18"/>
          <w:szCs w:val="18"/>
          <w:b w:val="1"/>
          <w:bCs w:val="1"/>
          <w:color w:val="auto"/>
        </w:rPr>
      </w:pPr>
    </w:p>
    <w:p>
      <w:pPr>
        <w:ind w:left="720" w:hanging="573"/>
        <w:spacing w:after="0"/>
        <w:tabs>
          <w:tab w:leader="none" w:pos="720" w:val="left"/>
        </w:tabs>
        <w:numPr>
          <w:ilvl w:val="1"/>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(11)</w:t>
      </w:r>
    </w:p>
    <w:p>
      <w:pPr>
        <w:spacing w:after="0" w:line="141" w:lineRule="exact"/>
        <w:rPr>
          <w:rFonts w:ascii="Times New Roman" w:cs="Times New Roman" w:eastAsia="Times New Roman" w:hAnsi="Times New Roman"/>
          <w:sz w:val="18"/>
          <w:szCs w:val="18"/>
          <w:b w:val="1"/>
          <w:bCs w:val="1"/>
          <w:color w:val="auto"/>
        </w:rPr>
      </w:pPr>
    </w:p>
    <w:p>
      <w:pPr>
        <w:ind w:left="7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13.27%</w:t>
      </w:r>
      <w:r>
        <w:rPr>
          <w:rFonts w:ascii="Times New Roman" w:cs="Times New Roman" w:eastAsia="Times New Roman" w:hAnsi="Times New Roman"/>
          <w:sz w:val="29"/>
          <w:szCs w:val="29"/>
          <w:color w:val="auto"/>
          <w:vertAlign w:val="superscript"/>
        </w:rPr>
        <w:t>(1)</w:t>
      </w:r>
    </w:p>
    <w:p>
      <w:pPr>
        <w:ind w:left="720" w:right="8020" w:hanging="573"/>
        <w:spacing w:after="0" w:line="497" w:lineRule="auto"/>
        <w:tabs>
          <w:tab w:leader="none" w:pos="720" w:val="left"/>
        </w:tabs>
        <w:numPr>
          <w:ilvl w:val="1"/>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 CO</w:t>
      </w:r>
    </w:p>
    <w:p>
      <w:pPr>
        <w:ind w:left="340" w:right="160" w:hanging="332"/>
        <w:spacing w:after="0" w:line="195" w:lineRule="auto"/>
        <w:tabs>
          <w:tab w:leader="none" w:pos="340" w:val="left"/>
        </w:tabs>
        <w:numPr>
          <w:ilvl w:val="0"/>
          <w:numId w:val="1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Based on 26,15,866 shares of GeneDx Common Stock (as defined herein) of the Issuer (as defined herein) outstanding on April 24, 2024, as set forth in the Issuer’s DEF14A filed with the SEC (as defined herein) on April 29,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361315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 w:name="page3"/>
    <w:bookmarkEnd w:id="2"/>
    <w:p>
      <w:pPr>
        <w:spacing w:after="0"/>
        <w:tabs>
          <w:tab w:leader="none" w:pos="5100" w:val="left"/>
          <w:tab w:leader="none" w:pos="10300" w:val="left"/>
        </w:tabs>
        <w:rPr>
          <w:sz w:val="20"/>
          <w:szCs w:val="20"/>
          <w:color w:val="auto"/>
        </w:rPr>
      </w:pPr>
      <w:r>
        <w:rPr>
          <w:rFonts w:ascii="Times New Roman" w:cs="Times New Roman" w:eastAsia="Times New Roman" w:hAnsi="Times New Roman"/>
          <w:sz w:val="18"/>
          <w:szCs w:val="18"/>
          <w:color w:val="auto"/>
        </w:rPr>
        <w:t>CUSIP No. 81663L200</w:t>
      </w:r>
      <w:r>
        <w:rPr>
          <w:sz w:val="20"/>
          <w:szCs w:val="20"/>
          <w:color w:val="auto"/>
        </w:rPr>
        <w:tab/>
      </w:r>
      <w:r>
        <w:rPr>
          <w:rFonts w:ascii="Times New Roman" w:cs="Times New Roman" w:eastAsia="Times New Roman" w:hAnsi="Times New Roman"/>
          <w:sz w:val="18"/>
          <w:szCs w:val="18"/>
          <w:color w:val="auto"/>
        </w:rPr>
        <w:t>Schedule 13D</w:t>
      </w:r>
      <w:r>
        <w:rPr>
          <w:sz w:val="20"/>
          <w:szCs w:val="20"/>
          <w:color w:val="auto"/>
        </w:rPr>
        <w:tab/>
      </w:r>
      <w:r>
        <w:rPr>
          <w:rFonts w:ascii="Times New Roman" w:cs="Times New Roman" w:eastAsia="Times New Roman" w:hAnsi="Times New Roman"/>
          <w:sz w:val="17"/>
          <w:szCs w:val="17"/>
          <w:color w:val="auto"/>
        </w:rPr>
        <w:t>PAGE 3 of 4</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color w:val="auto"/>
        </w:rPr>
        <w:t>This Amendment No. 3 (the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to Schedule 13D is being filed with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on behalf of OPKO Health, Inc., a Delaware corporation (“</w:t>
      </w:r>
      <w:r>
        <w:rPr>
          <w:rFonts w:ascii="Times New Roman" w:cs="Times New Roman" w:eastAsia="Times New Roman" w:hAnsi="Times New Roman"/>
          <w:sz w:val="18"/>
          <w:szCs w:val="18"/>
          <w:u w:val="single" w:color="auto"/>
          <w:color w:val="auto"/>
        </w:rPr>
        <w:t>OPKO</w:t>
      </w:r>
      <w:r>
        <w:rPr>
          <w:rFonts w:ascii="Times New Roman" w:cs="Times New Roman" w:eastAsia="Times New Roman" w:hAnsi="Times New Roman"/>
          <w:sz w:val="18"/>
          <w:szCs w:val="18"/>
          <w:color w:val="auto"/>
        </w:rPr>
        <w:t>”) and relates to the Class A common stock, par value $0.0001 per share (“</w:t>
      </w:r>
      <w:r>
        <w:rPr>
          <w:rFonts w:ascii="Times New Roman" w:cs="Times New Roman" w:eastAsia="Times New Roman" w:hAnsi="Times New Roman"/>
          <w:sz w:val="18"/>
          <w:szCs w:val="18"/>
          <w:u w:val="single" w:color="auto"/>
          <w:color w:val="auto"/>
        </w:rPr>
        <w:t>GeneDx Common Stock</w:t>
      </w:r>
      <w:r>
        <w:rPr>
          <w:rFonts w:ascii="Times New Roman" w:cs="Times New Roman" w:eastAsia="Times New Roman" w:hAnsi="Times New Roman"/>
          <w:sz w:val="18"/>
          <w:szCs w:val="18"/>
          <w:color w:val="auto"/>
        </w:rPr>
        <w:t>”), of GeneDx Holdings Corp., a Delaware corporation (“</w:t>
      </w:r>
      <w:r>
        <w:rPr>
          <w:rFonts w:ascii="Times New Roman" w:cs="Times New Roman" w:eastAsia="Times New Roman" w:hAnsi="Times New Roman"/>
          <w:sz w:val="18"/>
          <w:szCs w:val="18"/>
          <w:u w:val="single" w:color="auto"/>
          <w:color w:val="auto"/>
        </w:rPr>
        <w:t>GeneDx</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and amends and supplements the initial statement on Schedule 13D filed by OPKO with the SEC on May 9, 2022, as amended by Amendment No. 1 to Schedule 13D filed with the SEC on February 3, 2023, as amended by Amendment No. 2 filed with the SEC on April 20, 2023 (the “</w:t>
      </w:r>
      <w:r>
        <w:rPr>
          <w:rFonts w:ascii="Times New Roman" w:cs="Times New Roman" w:eastAsia="Times New Roman" w:hAnsi="Times New Roman"/>
          <w:sz w:val="18"/>
          <w:szCs w:val="18"/>
          <w:u w:val="single" w:color="auto"/>
          <w:color w:val="auto"/>
        </w:rPr>
        <w:t>Schedule 13D</w:t>
      </w:r>
      <w:r>
        <w:rPr>
          <w:rFonts w:ascii="Times New Roman" w:cs="Times New Roman" w:eastAsia="Times New Roman" w:hAnsi="Times New Roman"/>
          <w:sz w:val="18"/>
          <w:szCs w:val="18"/>
          <w:color w:val="auto"/>
        </w:rPr>
        <w:t>”). Capitalized terms used but not defined in this Amendment No. 3 shall have the same meanings ascribed to them in the Schedule 13D.</w:t>
      </w:r>
    </w:p>
    <w:p>
      <w:pPr>
        <w:spacing w:after="0" w:line="183" w:lineRule="exact"/>
        <w:rPr>
          <w:sz w:val="20"/>
          <w:szCs w:val="20"/>
          <w:color w:val="auto"/>
        </w:rPr>
      </w:pPr>
    </w:p>
    <w:p>
      <w:pPr>
        <w:ind w:left="20"/>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Purpose of Transaction.</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Item 4 is amended by adding the following paragraph to the end of the item:</w:t>
      </w:r>
    </w:p>
    <w:p>
      <w:pPr>
        <w:spacing w:after="0" w:line="229" w:lineRule="exact"/>
        <w:rPr>
          <w:sz w:val="20"/>
          <w:szCs w:val="20"/>
          <w:color w:val="auto"/>
        </w:rPr>
      </w:pPr>
    </w:p>
    <w:p>
      <w:pPr>
        <w:ind w:right="40" w:firstLine="486"/>
        <w:spacing w:after="0" w:line="282" w:lineRule="auto"/>
        <w:rPr>
          <w:sz w:val="20"/>
          <w:szCs w:val="20"/>
          <w:color w:val="auto"/>
        </w:rPr>
      </w:pPr>
      <w:r>
        <w:rPr>
          <w:rFonts w:ascii="Times New Roman" w:cs="Times New Roman" w:eastAsia="Times New Roman" w:hAnsi="Times New Roman"/>
          <w:sz w:val="18"/>
          <w:szCs w:val="18"/>
          <w:color w:val="auto"/>
        </w:rPr>
        <w:t>In a series of transactions between July 1, 2024 and July 3, 2024, OPKO sold a total of 89,082 shares of GeneDx Common Stock on the open market at prices ranging from $26.4607 to $31.20 per share for an aggregate sale price of approximately $2,457,285.</w:t>
      </w:r>
    </w:p>
    <w:p>
      <w:pPr>
        <w:spacing w:after="0" w:line="158" w:lineRule="exact"/>
        <w:rPr>
          <w:sz w:val="20"/>
          <w:szCs w:val="20"/>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Interest in Securities of the Issuer.</w:t>
      </w:r>
    </w:p>
    <w:p>
      <w:pPr>
        <w:spacing w:after="0" w:line="2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Item 5 is deleted in its entirety and replaced with the following text:</w:t>
      </w:r>
    </w:p>
    <w:p>
      <w:pPr>
        <w:spacing w:after="0" w:line="229" w:lineRule="exact"/>
        <w:rPr>
          <w:sz w:val="20"/>
          <w:szCs w:val="20"/>
          <w:color w:val="auto"/>
        </w:rPr>
      </w:pPr>
    </w:p>
    <w:p>
      <w:pPr>
        <w:ind w:left="1120" w:hanging="644"/>
        <w:spacing w:after="0"/>
        <w:tabs>
          <w:tab w:leader="none" w:pos="11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beneficial ownership of GeneDx Common Stock is as set forth in the table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Outstanding Shares</w:t>
            </w:r>
          </w:p>
        </w:tc>
        <w:tc>
          <w:tcPr>
            <w:tcW w:w="60" w:type="dxa"/>
            <w:vAlign w:val="bottom"/>
          </w:tcPr>
          <w:p>
            <w:pPr>
              <w:spacing w:after="0"/>
              <w:rPr>
                <w:sz w:val="18"/>
                <w:szCs w:val="18"/>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Percentage of Outstanding</w:t>
            </w:r>
          </w:p>
        </w:tc>
      </w:tr>
      <w:tr>
        <w:trPr>
          <w:trHeight w:val="238"/>
        </w:trPr>
        <w:tc>
          <w:tcPr>
            <w:tcW w:w="960" w:type="dxa"/>
            <w:vAlign w:val="bottom"/>
          </w:tcPr>
          <w:p>
            <w:pPr>
              <w:spacing w:after="0"/>
              <w:rPr>
                <w:sz w:val="20"/>
                <w:szCs w:val="20"/>
                <w:color w:val="auto"/>
              </w:rPr>
            </w:pPr>
          </w:p>
        </w:tc>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and Title of Beneficial Owner</w:t>
            </w:r>
          </w:p>
        </w:tc>
        <w:tc>
          <w:tcPr>
            <w:tcW w:w="80" w:type="dxa"/>
            <w:vAlign w:val="bottom"/>
          </w:tcPr>
          <w:p>
            <w:pPr>
              <w:spacing w:after="0"/>
              <w:rPr>
                <w:sz w:val="20"/>
                <w:szCs w:val="20"/>
                <w:color w:val="auto"/>
              </w:rPr>
            </w:pPr>
          </w:p>
        </w:tc>
        <w:tc>
          <w:tcPr>
            <w:tcW w:w="2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Beneficially Owned</w:t>
            </w:r>
          </w:p>
        </w:tc>
        <w:tc>
          <w:tcPr>
            <w:tcW w:w="60" w:type="dxa"/>
            <w:vAlign w:val="bottom"/>
          </w:tcPr>
          <w:p>
            <w:pPr>
              <w:spacing w:after="0"/>
              <w:rPr>
                <w:sz w:val="20"/>
                <w:szCs w:val="20"/>
                <w:color w:val="auto"/>
              </w:rPr>
            </w:pPr>
          </w:p>
        </w:tc>
        <w:tc>
          <w:tcPr>
            <w:tcW w:w="2220" w:type="dxa"/>
            <w:vAlign w:val="bottom"/>
            <w:tcBorders>
              <w:bottom w:val="single" w:sz="8" w:color="auto"/>
            </w:tcBorders>
          </w:tcPr>
          <w:p>
            <w:pPr>
              <w:jc w:val="center"/>
              <w:spacing w:after="0" w:line="239" w:lineRule="exact"/>
              <w:rPr>
                <w:sz w:val="20"/>
                <w:szCs w:val="20"/>
                <w:color w:val="auto"/>
              </w:rPr>
            </w:pPr>
            <w:r>
              <w:rPr>
                <w:rFonts w:ascii="Times New Roman" w:cs="Times New Roman" w:eastAsia="Times New Roman" w:hAnsi="Times New Roman"/>
                <w:sz w:val="17"/>
                <w:szCs w:val="17"/>
                <w:b w:val="1"/>
                <w:bCs w:val="1"/>
                <w:color w:val="auto"/>
              </w:rPr>
              <w:t xml:space="preserve">Common Shares </w:t>
            </w:r>
            <w:r>
              <w:rPr>
                <w:rFonts w:ascii="Times New Roman" w:cs="Times New Roman" w:eastAsia="Times New Roman" w:hAnsi="Times New Roman"/>
                <w:sz w:val="27"/>
                <w:szCs w:val="27"/>
                <w:b w:val="1"/>
                <w:bCs w:val="1"/>
                <w:color w:val="auto"/>
                <w:vertAlign w:val="superscript"/>
              </w:rPr>
              <w:t>(1)</w:t>
            </w:r>
          </w:p>
        </w:tc>
      </w:tr>
      <w:tr>
        <w:trPr>
          <w:trHeight w:val="191"/>
        </w:trPr>
        <w:tc>
          <w:tcPr>
            <w:tcW w:w="960" w:type="dxa"/>
            <w:vAlign w:val="bottom"/>
          </w:tcPr>
          <w:p>
            <w:pPr>
              <w:spacing w:after="0"/>
              <w:rPr>
                <w:sz w:val="16"/>
                <w:szCs w:val="16"/>
                <w:color w:val="auto"/>
              </w:rPr>
            </w:pPr>
          </w:p>
        </w:tc>
        <w:tc>
          <w:tcPr>
            <w:tcW w:w="39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OPKO Health, Inc.</w:t>
            </w:r>
          </w:p>
        </w:tc>
        <w:tc>
          <w:tcPr>
            <w:tcW w:w="80" w:type="dxa"/>
            <w:vAlign w:val="bottom"/>
          </w:tcPr>
          <w:p>
            <w:pPr>
              <w:spacing w:after="0"/>
              <w:rPr>
                <w:sz w:val="16"/>
                <w:szCs w:val="16"/>
                <w:color w:val="auto"/>
              </w:rPr>
            </w:pPr>
          </w:p>
        </w:tc>
        <w:tc>
          <w:tcPr>
            <w:tcW w:w="29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3,469,521</w:t>
            </w:r>
          </w:p>
        </w:tc>
        <w:tc>
          <w:tcPr>
            <w:tcW w:w="60" w:type="dxa"/>
            <w:vAlign w:val="bottom"/>
          </w:tcPr>
          <w:p>
            <w:pPr>
              <w:spacing w:after="0"/>
              <w:rPr>
                <w:sz w:val="16"/>
                <w:szCs w:val="16"/>
                <w:color w:val="auto"/>
              </w:rPr>
            </w:pPr>
          </w:p>
        </w:tc>
        <w:tc>
          <w:tcPr>
            <w:tcW w:w="22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13.27%</w:t>
            </w:r>
          </w:p>
        </w:tc>
      </w:tr>
      <w:tr>
        <w:trPr>
          <w:trHeight w:val="228"/>
        </w:trPr>
        <w:tc>
          <w:tcPr>
            <w:tcW w:w="4940" w:type="dxa"/>
            <w:vAlign w:val="bottom"/>
            <w:gridSpan w:val="2"/>
          </w:tcPr>
          <w:p>
            <w:pPr>
              <w:jc w:val="right"/>
              <w:ind w:right="3590"/>
              <w:spacing w:after="0"/>
              <w:rPr>
                <w:sz w:val="20"/>
                <w:szCs w:val="20"/>
                <w:color w:val="auto"/>
              </w:rPr>
            </w:pPr>
            <w:r>
              <w:rPr>
                <w:rFonts w:ascii="Times New Roman" w:cs="Times New Roman" w:eastAsia="Times New Roman" w:hAnsi="Times New Roman"/>
                <w:sz w:val="18"/>
                <w:szCs w:val="18"/>
                <w:color w:val="auto"/>
                <w:w w:val="98"/>
              </w:rPr>
              <w:t>______________</w:t>
            </w:r>
          </w:p>
        </w:tc>
        <w:tc>
          <w:tcPr>
            <w:tcW w:w="8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20" w:type="dxa"/>
            <w:vAlign w:val="bottom"/>
          </w:tcPr>
          <w:p>
            <w:pPr>
              <w:spacing w:after="0"/>
              <w:rPr>
                <w:sz w:val="19"/>
                <w:szCs w:val="19"/>
                <w:color w:val="auto"/>
              </w:rPr>
            </w:pPr>
          </w:p>
        </w:tc>
      </w:tr>
    </w:tbl>
    <w:p>
      <w:pPr>
        <w:ind w:left="440" w:right="20" w:hanging="270"/>
        <w:spacing w:after="0" w:line="239" w:lineRule="auto"/>
        <w:tabs>
          <w:tab w:leader="none" w:pos="44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Based on 26,15,866 shares of GeneDx Common Stock (as defined herein) of the Issuer (as defined herein) outstanding on April 24, 2024, as set forth in the Issuer’s DEF14A filed with the SEC (as defined herein) on April 29, 2024.</w:t>
      </w:r>
    </w:p>
    <w:p>
      <w:pPr>
        <w:spacing w:after="0" w:line="396" w:lineRule="exact"/>
        <w:rPr>
          <w:rFonts w:ascii="Times New Roman" w:cs="Times New Roman" w:eastAsia="Times New Roman" w:hAnsi="Times New Roman"/>
          <w:sz w:val="12"/>
          <w:szCs w:val="12"/>
          <w:color w:val="auto"/>
        </w:rPr>
      </w:pPr>
    </w:p>
    <w:p>
      <w:pPr>
        <w:ind w:left="1160" w:hanging="666"/>
        <w:spacing w:after="0"/>
        <w:tabs>
          <w:tab w:leader="none" w:pos="11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Items 7-10, inclusive, set forth on the cover page to this Amendment are hereby incorporated by reference in this Item 5.</w:t>
      </w:r>
    </w:p>
    <w:p>
      <w:pPr>
        <w:spacing w:after="0" w:line="225" w:lineRule="exact"/>
        <w:rPr>
          <w:rFonts w:ascii="Times New Roman" w:cs="Times New Roman" w:eastAsia="Times New Roman" w:hAnsi="Times New Roman"/>
          <w:sz w:val="18"/>
          <w:szCs w:val="18"/>
          <w:color w:val="auto"/>
        </w:rPr>
      </w:pPr>
    </w:p>
    <w:p>
      <w:pPr>
        <w:ind w:left="1140" w:hanging="646"/>
        <w:spacing w:after="0"/>
        <w:tabs>
          <w:tab w:leader="none" w:pos="11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last 60 days prior to the filing of this Amendment No. 3, OPKO sold a total of 89,082 shares of GeneDx Common Stock on the open</w:t>
      </w:r>
    </w:p>
    <w:p>
      <w:pPr>
        <w:spacing w:after="0" w:line="27" w:lineRule="exact"/>
        <w:rPr>
          <w:sz w:val="20"/>
          <w:szCs w:val="20"/>
          <w:color w:val="auto"/>
        </w:rPr>
      </w:pPr>
    </w:p>
    <w:p>
      <w:pPr>
        <w:ind w:left="1140" w:right="140"/>
        <w:spacing w:after="0" w:line="250" w:lineRule="auto"/>
        <w:rPr>
          <w:sz w:val="20"/>
          <w:szCs w:val="20"/>
          <w:color w:val="auto"/>
        </w:rPr>
      </w:pPr>
      <w:r>
        <w:rPr>
          <w:rFonts w:ascii="Times New Roman" w:cs="Times New Roman" w:eastAsia="Times New Roman" w:hAnsi="Times New Roman"/>
          <w:sz w:val="18"/>
          <w:szCs w:val="18"/>
          <w:color w:val="auto"/>
        </w:rPr>
        <w:t>market at prices ranging from $26.4607 to $31.20 per share for an aggregate sale price of approximately $$2,457,285. The following table sets forth the information with regard to GeneDx Common Stock sold by OPKO on the open market in the last 60 days.</w:t>
      </w:r>
    </w:p>
    <w:tbl>
      <w:tblPr>
        <w:tblLayout w:type="fixed"/>
        <w:tblInd w:w="1140" w:type="dxa"/>
        <w:tblCellMar>
          <w:top w:w="0" w:type="dxa"/>
          <w:left w:w="0" w:type="dxa"/>
          <w:bottom w:w="0" w:type="dxa"/>
          <w:right w:w="0" w:type="dxa"/>
        </w:tblCellMar>
      </w:tblPr>
      <w:tr>
        <w:trPr>
          <w:trHeight w:val="198"/>
        </w:trPr>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jc w:val="right"/>
              <w:spacing w:after="0" w:line="199" w:lineRule="exact"/>
              <w:rPr>
                <w:sz w:val="20"/>
                <w:szCs w:val="20"/>
                <w:color w:val="auto"/>
              </w:rPr>
            </w:pPr>
            <w:r>
              <w:rPr>
                <w:rFonts w:ascii="Times New Roman" w:cs="Times New Roman" w:eastAsia="Times New Roman" w:hAnsi="Times New Roman"/>
                <w:sz w:val="18"/>
                <w:szCs w:val="18"/>
                <w:color w:val="auto"/>
                <w:w w:val="94"/>
              </w:rPr>
              <w:t>Shares of</w:t>
            </w:r>
          </w:p>
        </w:tc>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Date</w:t>
            </w:r>
          </w:p>
        </w:tc>
        <w:tc>
          <w:tcPr>
            <w:tcW w:w="3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Common</w:t>
            </w:r>
          </w:p>
        </w:tc>
        <w:tc>
          <w:tcPr>
            <w:tcW w:w="380" w:type="dxa"/>
            <w:vAlign w:val="bottom"/>
          </w:tcPr>
          <w:p>
            <w:pPr>
              <w:spacing w:after="0"/>
              <w:rPr>
                <w:sz w:val="18"/>
                <w:szCs w:val="18"/>
                <w:color w:val="auto"/>
              </w:rPr>
            </w:pPr>
          </w:p>
        </w:tc>
        <w:tc>
          <w:tcPr>
            <w:tcW w:w="170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color w:val="auto"/>
              </w:rPr>
              <w:t>Aggregate</w:t>
            </w:r>
          </w:p>
        </w:tc>
        <w:tc>
          <w:tcPr>
            <w:tcW w:w="12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Price Per</w:t>
            </w:r>
          </w:p>
        </w:tc>
      </w:tr>
      <w:tr>
        <w:trPr>
          <w:trHeight w:val="234"/>
        </w:trPr>
        <w:tc>
          <w:tcPr>
            <w:tcW w:w="6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Stock</w:t>
            </w:r>
          </w:p>
        </w:tc>
        <w:tc>
          <w:tcPr>
            <w:tcW w:w="380" w:type="dxa"/>
            <w:vAlign w:val="bottom"/>
          </w:tcPr>
          <w:p>
            <w:pPr>
              <w:spacing w:after="0"/>
              <w:rPr>
                <w:sz w:val="20"/>
                <w:szCs w:val="20"/>
                <w:color w:val="auto"/>
              </w:rPr>
            </w:pPr>
          </w:p>
        </w:tc>
        <w:tc>
          <w:tcPr>
            <w:tcW w:w="170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color w:val="auto"/>
                <w:w w:val="99"/>
              </w:rPr>
              <w:t>Purchase Price</w:t>
            </w:r>
          </w:p>
        </w:tc>
        <w:tc>
          <w:tcPr>
            <w:tcW w:w="120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Share</w:t>
            </w:r>
          </w:p>
        </w:tc>
      </w:tr>
      <w:tr>
        <w:trPr>
          <w:trHeight w:val="191"/>
        </w:trPr>
        <w:tc>
          <w:tcPr>
            <w:tcW w:w="640" w:type="dxa"/>
            <w:vAlign w:val="bottom"/>
            <w:tcBorders>
              <w:top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w w:val="99"/>
              </w:rPr>
              <w:t>7/1/24</w:t>
            </w:r>
          </w:p>
        </w:tc>
        <w:tc>
          <w:tcPr>
            <w:tcW w:w="380" w:type="dxa"/>
            <w:vAlign w:val="bottom"/>
          </w:tcPr>
          <w:p>
            <w:pPr>
              <w:spacing w:after="0"/>
              <w:rPr>
                <w:sz w:val="16"/>
                <w:szCs w:val="16"/>
                <w:color w:val="auto"/>
              </w:rPr>
            </w:pPr>
          </w:p>
        </w:tc>
        <w:tc>
          <w:tcPr>
            <w:tcW w:w="6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50,000</w:t>
            </w:r>
          </w:p>
        </w:tc>
        <w:tc>
          <w:tcPr>
            <w:tcW w:w="380" w:type="dxa"/>
            <w:vAlign w:val="bottom"/>
          </w:tcPr>
          <w:p>
            <w:pPr>
              <w:spacing w:after="0"/>
              <w:rPr>
                <w:sz w:val="16"/>
                <w:szCs w:val="16"/>
                <w:color w:val="auto"/>
              </w:rPr>
            </w:pPr>
          </w:p>
        </w:tc>
        <w:tc>
          <w:tcPr>
            <w:tcW w:w="520" w:type="dxa"/>
            <w:vAlign w:val="bottom"/>
            <w:tcBorders>
              <w:top w:val="single" w:sz="8" w:color="auto"/>
            </w:tcBorders>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1,331,669</w:t>
            </w:r>
          </w:p>
        </w:tc>
        <w:tc>
          <w:tcPr>
            <w:tcW w:w="380" w:type="dxa"/>
            <w:vAlign w:val="bottom"/>
          </w:tcPr>
          <w:p>
            <w:pPr>
              <w:spacing w:after="0"/>
              <w:rPr>
                <w:sz w:val="16"/>
                <w:szCs w:val="16"/>
                <w:color w:val="auto"/>
              </w:rPr>
            </w:pPr>
          </w:p>
        </w:tc>
        <w:tc>
          <w:tcPr>
            <w:tcW w:w="520" w:type="dxa"/>
            <w:vAlign w:val="bottom"/>
            <w:tcBorders>
              <w:top w:val="single" w:sz="8" w:color="auto"/>
            </w:tcBorders>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26.6340</w:t>
            </w:r>
          </w:p>
        </w:tc>
        <w:tc>
          <w:tcPr>
            <w:tcW w:w="20" w:type="dxa"/>
            <w:vAlign w:val="bottom"/>
          </w:tcPr>
          <w:p>
            <w:pPr>
              <w:spacing w:after="0"/>
              <w:rPr>
                <w:sz w:val="16"/>
                <w:szCs w:val="16"/>
                <w:color w:val="auto"/>
              </w:rPr>
            </w:pPr>
          </w:p>
        </w:tc>
      </w:tr>
      <w:tr>
        <w:trPr>
          <w:trHeight w:val="216"/>
        </w:trPr>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7/2/24</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9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728,095</w:t>
            </w: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29.1238</w:t>
            </w:r>
          </w:p>
        </w:tc>
      </w:tr>
      <w:tr>
        <w:trPr>
          <w:trHeight w:val="234"/>
        </w:trPr>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7/3/24</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14,082</w:t>
            </w:r>
          </w:p>
        </w:tc>
        <w:tc>
          <w:tcPr>
            <w:tcW w:w="9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397,491</w:t>
            </w: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28.2269</w:t>
            </w:r>
          </w:p>
        </w:tc>
      </w:tr>
    </w:tbl>
    <w:p>
      <w:pPr>
        <w:spacing w:after="0" w:line="198" w:lineRule="exact"/>
        <w:rPr>
          <w:sz w:val="20"/>
          <w:szCs w:val="20"/>
          <w:color w:val="auto"/>
        </w:rPr>
      </w:pPr>
    </w:p>
    <w:p>
      <w:pPr>
        <w:ind w:left="1140" w:right="200" w:hanging="646"/>
        <w:spacing w:after="0" w:line="282" w:lineRule="auto"/>
        <w:tabs>
          <w:tab w:leader="none" w:pos="1151"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described herein, no other person is known by OPKO to have the right to receive or the power to direct the receipt of dividends from, or the proceeds from the sale of, any shares of the Issuer beneficially owned by them.</w:t>
      </w:r>
    </w:p>
    <w:p>
      <w:pPr>
        <w:spacing w:after="0" w:line="161" w:lineRule="exact"/>
        <w:rPr>
          <w:rFonts w:ascii="Times New Roman" w:cs="Times New Roman" w:eastAsia="Times New Roman" w:hAnsi="Times New Roman"/>
          <w:sz w:val="18"/>
          <w:szCs w:val="18"/>
          <w:color w:val="auto"/>
        </w:rPr>
      </w:pPr>
    </w:p>
    <w:p>
      <w:pPr>
        <w:ind w:left="1120" w:hanging="644"/>
        <w:spacing w:after="0"/>
        <w:tabs>
          <w:tab w:leader="none" w:pos="11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 w:name="page4"/>
    <w:bookmarkEnd w:id="3"/>
    <w:p>
      <w:pPr>
        <w:spacing w:after="0"/>
        <w:tabs>
          <w:tab w:leader="none" w:pos="5100" w:val="left"/>
          <w:tab w:leader="none" w:pos="10300" w:val="left"/>
        </w:tabs>
        <w:rPr>
          <w:sz w:val="20"/>
          <w:szCs w:val="20"/>
          <w:color w:val="auto"/>
        </w:rPr>
      </w:pPr>
      <w:r>
        <w:rPr>
          <w:rFonts w:ascii="Times New Roman" w:cs="Times New Roman" w:eastAsia="Times New Roman" w:hAnsi="Times New Roman"/>
          <w:sz w:val="18"/>
          <w:szCs w:val="18"/>
          <w:color w:val="auto"/>
        </w:rPr>
        <w:t>CUSIP No. 81663L200</w:t>
      </w:r>
      <w:r>
        <w:rPr>
          <w:sz w:val="20"/>
          <w:szCs w:val="20"/>
          <w:color w:val="auto"/>
        </w:rPr>
        <w:tab/>
      </w:r>
      <w:r>
        <w:rPr>
          <w:rFonts w:ascii="Times New Roman" w:cs="Times New Roman" w:eastAsia="Times New Roman" w:hAnsi="Times New Roman"/>
          <w:sz w:val="18"/>
          <w:szCs w:val="18"/>
          <w:color w:val="auto"/>
        </w:rPr>
        <w:t>Schedule 13D</w:t>
      </w:r>
      <w:r>
        <w:rPr>
          <w:sz w:val="20"/>
          <w:szCs w:val="20"/>
          <w:color w:val="auto"/>
        </w:rPr>
        <w:tab/>
      </w:r>
      <w:r>
        <w:rPr>
          <w:rFonts w:ascii="Times New Roman" w:cs="Times New Roman" w:eastAsia="Times New Roman" w:hAnsi="Times New Roman"/>
          <w:sz w:val="17"/>
          <w:szCs w:val="17"/>
          <w:color w:val="auto"/>
        </w:rPr>
        <w:t>PAGE 4 of 4</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7780" w:type="dxa"/>
            <w:vAlign w:val="bottom"/>
            <w:gridSpan w:val="2"/>
          </w:tcPr>
          <w:p>
            <w:pPr>
              <w:ind w:left="1780"/>
              <w:spacing w:after="0"/>
              <w:rPr>
                <w:sz w:val="20"/>
                <w:szCs w:val="20"/>
                <w:color w:val="auto"/>
              </w:rPr>
            </w:pPr>
            <w:r>
              <w:rPr>
                <w:rFonts w:ascii="Times New Roman" w:cs="Times New Roman" w:eastAsia="Times New Roman" w:hAnsi="Times New Roman"/>
                <w:sz w:val="18"/>
                <w:szCs w:val="18"/>
                <w:color w:val="auto"/>
              </w:rPr>
              <w:t>OPKO Health, Inc.</w:t>
            </w:r>
          </w:p>
        </w:tc>
      </w:tr>
      <w:tr>
        <w:trPr>
          <w:trHeight w:val="432"/>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2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July 5, 2024</w:t>
            </w:r>
          </w:p>
        </w:tc>
        <w:tc>
          <w:tcPr>
            <w:tcW w:w="278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Steven D. Rubin</w:t>
            </w:r>
          </w:p>
        </w:tc>
      </w:tr>
      <w:tr>
        <w:trPr>
          <w:trHeight w:val="191"/>
        </w:trPr>
        <w:tc>
          <w:tcPr>
            <w:tcW w:w="64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2780" w:type="dxa"/>
            <w:vAlign w:val="bottom"/>
          </w:tcPr>
          <w:p>
            <w:pPr>
              <w:ind w:left="18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Steven D. Rubin</w:t>
            </w:r>
          </w:p>
        </w:tc>
      </w:tr>
      <w:tr>
        <w:trPr>
          <w:trHeight w:val="234"/>
        </w:trPr>
        <w:tc>
          <w:tcPr>
            <w:tcW w:w="6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278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Title:</w:t>
            </w: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 Administration</w:t>
            </w:r>
          </w:p>
        </w:tc>
      </w:tr>
    </w:tbl>
    <w:p>
      <w:pPr>
        <w:spacing w:after="0" w:line="1" w:lineRule="exact"/>
        <w:rPr>
          <w:sz w:val="20"/>
          <w:szCs w:val="20"/>
          <w:color w:val="auto"/>
        </w:rPr>
      </w:pPr>
    </w:p>
    <w:sectPr>
      <w:pgSz w:w="11900" w:h="16838" w:orient="portrait"/>
      <w:cols w:equalWidth="0" w:num="1">
        <w:col w:w="11240"/>
      </w:cols>
      <w:pgMar w:left="320" w:top="5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1"/>
      <w:numFmt w:val="bullet"/>
      <w:start w:val="1"/>
    </w:lvl>
  </w:abstractNum>
  <w:abstractNum w:abstractNumId="2">
    <w:nsid w:val="515F007C"/>
    <w:multiLevelType w:val="hybridMultilevel"/>
    <w:lvl w:ilvl="0">
      <w:lvlJc w:val="left"/>
      <w:lvlText w:val="2"/>
      <w:numFmt w:val="bullet"/>
      <w:start w:val="1"/>
    </w:lvl>
  </w:abstractNum>
  <w:abstractNum w:abstractNumId="3">
    <w:nsid w:val="5BD062C2"/>
    <w:multiLevelType w:val="hybridMultilevel"/>
    <w:lvl w:ilvl="0">
      <w:lvlJc w:val="left"/>
      <w:lvlText w:val="3"/>
      <w:numFmt w:val="bullet"/>
      <w:start w:val="1"/>
    </w:lvl>
  </w:abstractNum>
  <w:abstractNum w:abstractNumId="4">
    <w:nsid w:val="12200854"/>
    <w:multiLevelType w:val="hybridMultilevel"/>
    <w:lvl w:ilvl="0">
      <w:lvlJc w:val="left"/>
      <w:lvlText w:val="4"/>
      <w:numFmt w:val="bullet"/>
      <w:start w:val="1"/>
    </w:lvl>
  </w:abstractNum>
  <w:abstractNum w:abstractNumId="5">
    <w:nsid w:val="4DB127F8"/>
    <w:multiLevelType w:val="hybridMultilevel"/>
    <w:lvl w:ilvl="0">
      <w:lvlJc w:val="left"/>
      <w:lvlText w:val="5"/>
      <w:numFmt w:val="bullet"/>
      <w:start w:val="1"/>
    </w:lvl>
  </w:abstractNum>
  <w:abstractNum w:abstractNumId="6">
    <w:nsid w:val="216231B"/>
    <w:multiLevelType w:val="hybridMultilevel"/>
    <w:lvl w:ilvl="0">
      <w:lvlJc w:val="left"/>
      <w:lvlText w:val="6"/>
      <w:numFmt w:val="bullet"/>
      <w:start w:val="1"/>
    </w:lvl>
  </w:abstractNum>
  <w:abstractNum w:abstractNumId="7">
    <w:nsid w:val="1F16E9E8"/>
    <w:multiLevelType w:val="hybridMultilevel"/>
    <w:lvl w:ilvl="0">
      <w:lvlJc w:val="left"/>
      <w:lvlText w:val="%1"/>
      <w:numFmt w:val="decimal"/>
      <w:start w:val="11"/>
    </w:lvl>
  </w:abstractNum>
  <w:abstractNum w:abstractNumId="8">
    <w:nsid w:val="1190CDE7"/>
    <w:multiLevelType w:val="hybridMultilevel"/>
    <w:lvl w:ilvl="0">
      <w:lvlJc w:val="left"/>
      <w:lvlText w:val="%1"/>
      <w:numFmt w:val="decimal"/>
      <w:start w:val="1"/>
    </w:lvl>
    <w:lvl w:ilvl="1">
      <w:lvlJc w:val="left"/>
      <w:lvlText w:val="%2"/>
      <w:numFmt w:val="decimal"/>
      <w:start w:val="12"/>
    </w:lvl>
  </w:abstractNum>
  <w:abstractNum w:abstractNumId="9">
    <w:nsid w:val="66EF438D"/>
    <w:multiLevelType w:val="hybridMultilevel"/>
    <w:lvl w:ilvl="0">
      <w:lvlJc w:val="left"/>
      <w:lvlText w:val="(%1)"/>
      <w:numFmt w:val="decimal"/>
      <w:start w:val="1"/>
    </w:lvl>
    <w:lvl w:ilvl="1">
      <w:lvlJc w:val="left"/>
      <w:lvlText w:val="%2"/>
      <w:numFmt w:val="decimal"/>
      <w:start w:val="1"/>
    </w:lvl>
  </w:abstractNum>
  <w:abstractNum w:abstractNumId="10">
    <w:nsid w:val="140E0F76"/>
    <w:multiLevelType w:val="hybridMultilevel"/>
    <w:lvl w:ilvl="0">
      <w:lvlJc w:val="left"/>
      <w:lvlText w:val="(%1)"/>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2"/>
    </w:lvl>
  </w:abstractNum>
  <w:abstractNum w:abstractNumId="12">
    <w:nsid w:val="109CF92E"/>
    <w:multiLevelType w:val="hybridMultilevel"/>
    <w:lvl w:ilvl="0">
      <w:lvlJc w:val="left"/>
      <w:lvlText w:val="%1"/>
      <w:numFmt w:val="lowerLetter"/>
      <w:start w:val="1"/>
    </w:lvl>
    <w:lvl w:ilvl="1">
      <w:lvlJc w:val="left"/>
      <w:lvlText w:val="(%2)"/>
      <w:numFmt w:val="lowerLetter"/>
      <w:start w:val="4"/>
    </w:lvl>
  </w:abstractNum>
  <w:abstractNum w:abstractNumId="13">
    <w:nsid w:val="DED7263"/>
    <w:multiLevelType w:val="hybridMultilevel"/>
    <w:lvl w:ilvl="0">
      <w:lvlJc w:val="left"/>
      <w:lvlText w:val="(%1)"/>
      <w:numFmt w:val="lowerLetter"/>
      <w:start w:val="5"/>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2024-07-05T15:20:54Z</dcterms:created>
  <dcterms:modified xsi:type="dcterms:W3CDTF">2024-07-05T15:20:54Z</dcterms:modified>
</cp:coreProperties>
</file>