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Ro Isaac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04/04/2022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160,085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205,469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3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205,469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205,469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3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118,350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118,350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-2265680</wp:posOffset>
            </wp:positionV>
            <wp:extent cx="28575" cy="2270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indicated shares were issued to the Reporting Person as a stock bonus. The stock bonus was fully-vested as of the date of issuance.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April 1, 2022 until fully vested, subject to the Reporting Person's continued service to the Issuer on each vesting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463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2022-04-06T16:17:34Z</dcterms:created>
  <dcterms:modified xsi:type="dcterms:W3CDTF">2022-04-06T16:17:34Z</dcterms:modified>
</cp:coreProperties>
</file>