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26"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8890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SCHEDULE 13G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25400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Under the Securities Exchange Act of 1934</w:t>
      </w:r>
    </w:p>
    <w:p>
      <w:pPr>
        <w:spacing w:after="0" w:line="22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(Amendment No. )*</w:t>
      </w:r>
    </w:p>
    <w:p>
      <w:pPr>
        <w:spacing w:after="0" w:line="22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CM Life 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(Name of Issuer)</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Class A Common Stock, par value of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18978W208**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(CUSIP Number)</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September 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0" w:lineRule="exact"/>
        <w:rPr>
          <w:sz w:val="24"/>
          <w:szCs w:val="24"/>
          <w:color w:val="auto"/>
        </w:rPr>
      </w:pPr>
    </w:p>
    <w:p>
      <w:pPr>
        <w:spacing w:after="0" w:line="24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13G is filed:</w:t>
      </w:r>
    </w:p>
    <w:p>
      <w:pPr>
        <w:spacing w:after="0" w:line="229" w:lineRule="exact"/>
        <w:rPr>
          <w:sz w:val="24"/>
          <w:szCs w:val="24"/>
          <w:color w:val="auto"/>
        </w:rPr>
      </w:pPr>
    </w:p>
    <w:p>
      <w:pPr>
        <w:jc w:val="both"/>
        <w:ind w:left="640" w:right="8820" w:hanging="6"/>
        <w:spacing w:after="0" w:line="247" w:lineRule="exact"/>
        <w:tabs>
          <w:tab w:leader="none" w:pos="1022"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 xml:space="preserve">Rule 13d-1(b)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Rule 13d-1(c)</w:t>
      </w:r>
    </w:p>
    <w:p>
      <w:pPr>
        <w:spacing w:after="0" w:line="1" w:lineRule="exact"/>
        <w:rPr>
          <w:rFonts w:ascii="MS PGothic" w:cs="MS PGothic" w:eastAsia="MS PGothic" w:hAnsi="MS PGothic"/>
          <w:sz w:val="19"/>
          <w:szCs w:val="19"/>
          <w:color w:val="auto"/>
        </w:rPr>
      </w:pPr>
    </w:p>
    <w:p>
      <w:pPr>
        <w:ind w:left="1020" w:hanging="386"/>
        <w:spacing w:after="0"/>
        <w:tabs>
          <w:tab w:leader="none" w:pos="10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Rule 13d-1(d)</w:t>
      </w:r>
    </w:p>
    <w:p>
      <w:pPr>
        <w:spacing w:after="0" w:line="20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(Page 1 of 10 Pages)</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w:t>
      </w:r>
    </w:p>
    <w:p>
      <w:pPr>
        <w:spacing w:after="0" w:line="22" w:lineRule="exact"/>
        <w:rPr>
          <w:sz w:val="24"/>
          <w:szCs w:val="24"/>
          <w:color w:val="auto"/>
        </w:rPr>
      </w:pPr>
    </w:p>
    <w:p>
      <w:pPr>
        <w:jc w:val="both"/>
        <w:ind w:right="80" w:firstLine="661"/>
        <w:spacing w:after="0" w:line="242" w:lineRule="auto"/>
        <w:tabs>
          <w:tab w:leader="none" w:pos="802"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79" w:lineRule="exact"/>
        <w:rPr>
          <w:sz w:val="24"/>
          <w:szCs w:val="24"/>
          <w:color w:val="auto"/>
        </w:rPr>
      </w:pPr>
    </w:p>
    <w:p>
      <w:pPr>
        <w:jc w:val="both"/>
        <w:ind w:firstLine="653"/>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66" w:lineRule="exact"/>
        <w:rPr>
          <w:sz w:val="24"/>
          <w:szCs w:val="24"/>
          <w:color w:val="auto"/>
        </w:rPr>
      </w:pPr>
    </w:p>
    <w:p>
      <w:pPr>
        <w:ind w:right="280" w:firstLine="661"/>
        <w:spacing w:after="0" w:line="269" w:lineRule="auto"/>
        <w:tabs>
          <w:tab w:leader="none" w:pos="802"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As of the date of this Schedule 13G, a CUSIP number for the Issuer’s Class A Common Stock is not available. The CUSIP number for the Issuer’s units is 18978W208.</w:t>
      </w:r>
    </w:p>
    <w:p>
      <w:pPr>
        <w:sectPr>
          <w:pgSz w:w="11900" w:h="16838" w:orient="portrait"/>
          <w:cols w:equalWidth="0" w:num="1">
            <w:col w:w="10960"/>
          </w:cols>
          <w:pgMar w:left="320" w:top="221" w:right="6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6"/>
        </w:trPr>
        <w:tc>
          <w:tcPr>
            <w:tcW w:w="53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CUSIP No. 18978W208</w:t>
            </w:r>
          </w:p>
        </w:tc>
        <w:tc>
          <w:tcPr>
            <w:tcW w:w="26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13G</w:t>
            </w:r>
          </w:p>
        </w:tc>
        <w:tc>
          <w:tcPr>
            <w:tcW w:w="3260" w:type="dxa"/>
            <w:vAlign w:val="bottom"/>
          </w:tcPr>
          <w:p>
            <w:pPr>
              <w:ind w:left="1560"/>
              <w:spacing w:after="0"/>
              <w:rPr>
                <w:sz w:val="20"/>
                <w:szCs w:val="20"/>
                <w:color w:val="auto"/>
              </w:rPr>
            </w:pPr>
            <w:r>
              <w:rPr>
                <w:rFonts w:ascii="Times New Roman" w:cs="Times New Roman" w:eastAsia="Times New Roman" w:hAnsi="Times New Roman"/>
                <w:sz w:val="22"/>
                <w:szCs w:val="22"/>
                <w:b w:val="1"/>
                <w:bCs w:val="1"/>
                <w:color w:val="auto"/>
                <w:w w:val="97"/>
              </w:rPr>
              <w:t>Page 2 of 10 Pages</w:t>
            </w:r>
          </w:p>
        </w:tc>
        <w:tc>
          <w:tcPr>
            <w:tcW w:w="0" w:type="dxa"/>
            <w:vAlign w:val="bottom"/>
          </w:tcPr>
          <w:p>
            <w:pPr>
              <w:spacing w:after="0"/>
              <w:rPr>
                <w:sz w:val="1"/>
                <w:szCs w:val="1"/>
                <w:color w:val="auto"/>
              </w:rPr>
            </w:pPr>
          </w:p>
        </w:tc>
      </w:tr>
      <w:tr>
        <w:trPr>
          <w:trHeight w:val="326"/>
        </w:trPr>
        <w:tc>
          <w:tcPr>
            <w:tcW w:w="14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460" w:type="dxa"/>
            <w:vAlign w:val="bottom"/>
            <w:vMerge w:val="restart"/>
          </w:tcPr>
          <w:p>
            <w:pPr>
              <w:jc w:val="right"/>
              <w:ind w:right="348"/>
              <w:spacing w:after="0"/>
              <w:rPr>
                <w:sz w:val="20"/>
                <w:szCs w:val="20"/>
                <w:color w:val="auto"/>
              </w:rPr>
            </w:pPr>
            <w:r>
              <w:rPr>
                <w:rFonts w:ascii="Times New Roman" w:cs="Times New Roman" w:eastAsia="Times New Roman" w:hAnsi="Times New Roman"/>
                <w:sz w:val="29"/>
                <w:szCs w:val="29"/>
                <w:b w:val="1"/>
                <w:bCs w:val="1"/>
                <w:color w:val="auto"/>
              </w:rPr>
              <w:t>1</w:t>
            </w:r>
          </w:p>
        </w:tc>
        <w:tc>
          <w:tcPr>
            <w:tcW w:w="39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NAMES OF REPORTING PERSONS</w:t>
            </w:r>
          </w:p>
        </w:tc>
        <w:tc>
          <w:tcPr>
            <w:tcW w:w="26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460" w:type="dxa"/>
            <w:vAlign w:val="bottom"/>
            <w:vMerge w:val="continue"/>
          </w:tcPr>
          <w:p>
            <w:pPr>
              <w:spacing w:after="0"/>
              <w:rPr>
                <w:sz w:val="15"/>
                <w:szCs w:val="15"/>
                <w:color w:val="auto"/>
              </w:rPr>
            </w:pPr>
          </w:p>
        </w:tc>
        <w:tc>
          <w:tcPr>
            <w:tcW w:w="3920" w:type="dxa"/>
            <w:vAlign w:val="bottom"/>
            <w:vMerge w:val="restart"/>
          </w:tcPr>
          <w:p>
            <w:pPr>
              <w:ind w:left="780"/>
              <w:spacing w:after="0"/>
              <w:rPr>
                <w:sz w:val="20"/>
                <w:szCs w:val="20"/>
                <w:color w:val="auto"/>
              </w:rPr>
            </w:pPr>
            <w:r>
              <w:rPr>
                <w:rFonts w:ascii="Times New Roman" w:cs="Times New Roman" w:eastAsia="Times New Roman" w:hAnsi="Times New Roman"/>
                <w:sz w:val="20"/>
                <w:szCs w:val="20"/>
                <w:color w:val="auto"/>
              </w:rPr>
              <w:t>Sachem Head Capital Management LP</w:t>
            </w:r>
          </w:p>
        </w:tc>
        <w:tc>
          <w:tcPr>
            <w:tcW w:w="260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460" w:type="dxa"/>
            <w:vAlign w:val="bottom"/>
          </w:tcPr>
          <w:p>
            <w:pPr>
              <w:spacing w:after="0"/>
              <w:rPr>
                <w:sz w:val="6"/>
                <w:szCs w:val="6"/>
                <w:color w:val="auto"/>
              </w:rPr>
            </w:pPr>
          </w:p>
        </w:tc>
        <w:tc>
          <w:tcPr>
            <w:tcW w:w="3920" w:type="dxa"/>
            <w:vAlign w:val="bottom"/>
            <w:vMerge w:val="continue"/>
          </w:tcPr>
          <w:p>
            <w:pPr>
              <w:spacing w:after="0"/>
              <w:rPr>
                <w:sz w:val="6"/>
                <w:szCs w:val="6"/>
                <w:color w:val="auto"/>
              </w:rPr>
            </w:pPr>
          </w:p>
        </w:tc>
        <w:tc>
          <w:tcPr>
            <w:tcW w:w="2600" w:type="dxa"/>
            <w:vAlign w:val="bottom"/>
          </w:tcPr>
          <w:p>
            <w:pPr>
              <w:spacing w:after="0"/>
              <w:rPr>
                <w:sz w:val="6"/>
                <w:szCs w:val="6"/>
                <w:color w:val="auto"/>
              </w:rPr>
            </w:pPr>
          </w:p>
        </w:tc>
        <w:tc>
          <w:tcPr>
            <w:tcW w:w="3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460" w:type="dxa"/>
            <w:vAlign w:val="bottom"/>
            <w:tcBorders>
              <w:bottom w:val="single" w:sz="8" w:color="auto"/>
            </w:tcBorders>
          </w:tcPr>
          <w:p>
            <w:pPr>
              <w:spacing w:after="0"/>
              <w:rPr>
                <w:sz w:val="8"/>
                <w:szCs w:val="8"/>
                <w:color w:val="auto"/>
              </w:rPr>
            </w:pPr>
          </w:p>
        </w:tc>
        <w:tc>
          <w:tcPr>
            <w:tcW w:w="6520" w:type="dxa"/>
            <w:vAlign w:val="bottom"/>
            <w:tcBorders>
              <w:bottom w:val="single" w:sz="8" w:color="auto"/>
            </w:tcBorders>
            <w:gridSpan w:val="2"/>
          </w:tcPr>
          <w:p>
            <w:pPr>
              <w:spacing w:after="0"/>
              <w:rPr>
                <w:sz w:val="8"/>
                <w:szCs w:val="8"/>
                <w:color w:val="auto"/>
              </w:rPr>
            </w:pPr>
          </w:p>
        </w:tc>
        <w:tc>
          <w:tcPr>
            <w:tcW w:w="32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460" w:type="dxa"/>
            <w:vAlign w:val="bottom"/>
            <w:vMerge w:val="restart"/>
          </w:tcPr>
          <w:p>
            <w:pPr>
              <w:jc w:val="right"/>
              <w:ind w:right="348"/>
              <w:spacing w:after="0" w:line="320" w:lineRule="exact"/>
              <w:rPr>
                <w:sz w:val="20"/>
                <w:szCs w:val="20"/>
                <w:color w:val="auto"/>
              </w:rPr>
            </w:pPr>
            <w:r>
              <w:rPr>
                <w:rFonts w:ascii="Times New Roman" w:cs="Times New Roman" w:eastAsia="Times New Roman" w:hAnsi="Times New Roman"/>
                <w:sz w:val="29"/>
                <w:szCs w:val="29"/>
                <w:b w:val="1"/>
                <w:bCs w:val="1"/>
                <w:color w:val="auto"/>
              </w:rPr>
              <w:t>2</w:t>
            </w:r>
          </w:p>
        </w:tc>
        <w:tc>
          <w:tcPr>
            <w:tcW w:w="65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3260" w:type="dxa"/>
            <w:vAlign w:val="bottom"/>
            <w:vMerge w:val="restart"/>
          </w:tcPr>
          <w:p>
            <w:pPr>
              <w:ind w:left="2020"/>
              <w:spacing w:after="0" w:line="320" w:lineRule="exact"/>
              <w:rPr>
                <w:sz w:val="20"/>
                <w:szCs w:val="20"/>
                <w:color w:val="auto"/>
              </w:rPr>
            </w:pPr>
            <w:r>
              <w:rPr>
                <w:rFonts w:ascii="Times New Roman" w:cs="Times New Roman" w:eastAsia="Times New Roman" w:hAnsi="Times New Roman"/>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76"/>
        </w:trPr>
        <w:tc>
          <w:tcPr>
            <w:tcW w:w="1460" w:type="dxa"/>
            <w:vAlign w:val="bottom"/>
            <w:vMerge w:val="continue"/>
          </w:tcPr>
          <w:p>
            <w:pPr>
              <w:spacing w:after="0"/>
              <w:rPr>
                <w:sz w:val="6"/>
                <w:szCs w:val="6"/>
                <w:color w:val="auto"/>
              </w:rPr>
            </w:pPr>
          </w:p>
        </w:tc>
        <w:tc>
          <w:tcPr>
            <w:tcW w:w="39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3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3"/>
        </w:trPr>
        <w:tc>
          <w:tcPr>
            <w:tcW w:w="14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260" w:type="dxa"/>
            <w:vAlign w:val="bottom"/>
          </w:tcPr>
          <w:p>
            <w:pPr>
              <w:ind w:left="2020"/>
              <w:spacing w:after="0" w:line="322" w:lineRule="exact"/>
              <w:rPr>
                <w:sz w:val="20"/>
                <w:szCs w:val="20"/>
                <w:color w:val="auto"/>
              </w:rPr>
            </w:pPr>
            <w:r>
              <w:rPr>
                <w:rFonts w:ascii="Times New Roman" w:cs="Times New Roman" w:eastAsia="Times New Roman" w:hAnsi="Times New Roman"/>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-889000</wp:posOffset>
            </wp:positionV>
            <wp:extent cx="7132320" cy="46202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ind w:left="1920" w:hanging="1079"/>
        <w:spacing w:after="0" w:line="185" w:lineRule="auto"/>
        <w:tabs>
          <w:tab w:leader="none" w:pos="1920" w:val="left"/>
        </w:tabs>
        <w:numPr>
          <w:ilvl w:val="0"/>
          <w:numId w:val="4"/>
        </w:numPr>
        <w:rPr>
          <w:rFonts w:ascii="Times New Roman" w:cs="Times New Roman" w:eastAsia="Times New Roman" w:hAnsi="Times New Roman"/>
          <w:sz w:val="24"/>
          <w:szCs w:val="24"/>
          <w:b w:val="1"/>
          <w:bCs w:val="1"/>
          <w:color w:val="auto"/>
          <w:vertAlign w:val="subscript"/>
        </w:rPr>
      </w:pPr>
      <w:r>
        <w:rPr>
          <w:rFonts w:ascii="Times New Roman" w:cs="Times New Roman" w:eastAsia="Times New Roman" w:hAnsi="Times New Roman"/>
          <w:sz w:val="13"/>
          <w:szCs w:val="13"/>
          <w:color w:val="auto"/>
        </w:rPr>
        <w:t>SEC USE ONLY</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Delaware</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tcPr>
          <w:p>
            <w:pPr>
              <w:spacing w:after="0"/>
              <w:rPr>
                <w:sz w:val="19"/>
                <w:szCs w:val="1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5</w:t>
            </w:r>
          </w:p>
        </w:tc>
        <w:tc>
          <w:tcPr>
            <w:tcW w:w="5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SOLE VOTING POWER</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- 0 -</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500" w:type="dxa"/>
            <w:vAlign w:val="bottom"/>
            <w:tcBorders>
              <w:bottom w:val="single" w:sz="8" w:color="auto"/>
              <w:right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6</w:t>
            </w:r>
          </w:p>
        </w:tc>
        <w:tc>
          <w:tcPr>
            <w:tcW w:w="59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VOTING POWER</w:t>
            </w: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SHARES</w:t>
            </w: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3,465,000</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BENEFICIALLY</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OWNED BY</w:t>
            </w:r>
          </w:p>
        </w:tc>
        <w:tc>
          <w:tcPr>
            <w:tcW w:w="15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7</w:t>
            </w:r>
          </w:p>
        </w:tc>
        <w:tc>
          <w:tcPr>
            <w:tcW w:w="59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DISPOSITIVE POWER</w:t>
            </w: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EACH</w:t>
            </w: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- 0 -</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REPORTING</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PERSON WITH</w:t>
            </w:r>
          </w:p>
        </w:tc>
        <w:tc>
          <w:tcPr>
            <w:tcW w:w="15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8</w:t>
            </w:r>
          </w:p>
        </w:tc>
        <w:tc>
          <w:tcPr>
            <w:tcW w:w="59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3,465,000</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3,465,000</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rPr>
              <w:t>10</w:t>
            </w:r>
          </w:p>
        </w:tc>
        <w:tc>
          <w:tcPr>
            <w:tcW w:w="7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2040" w:type="dxa"/>
            <w:vAlign w:val="bottom"/>
          </w:tcPr>
          <w:p>
            <w:pPr>
              <w:ind w:left="9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400" w:type="dxa"/>
            <w:vAlign w:val="bottom"/>
            <w:gridSpan w:val="2"/>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59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89"/>
              </w:rPr>
              <w:t>11</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7.8%</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rPr>
              <w:t>12</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TYPE OF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IA</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49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CUSIP No. 18978W208</w:t>
            </w:r>
          </w:p>
        </w:tc>
        <w:tc>
          <w:tcPr>
            <w:tcW w:w="3040" w:type="dxa"/>
            <w:vAlign w:val="bottom"/>
          </w:tcPr>
          <w:p>
            <w:pPr>
              <w:ind w:left="500"/>
              <w:spacing w:after="0"/>
              <w:rPr>
                <w:sz w:val="20"/>
                <w:szCs w:val="20"/>
                <w:color w:val="auto"/>
              </w:rPr>
            </w:pPr>
            <w:r>
              <w:rPr>
                <w:rFonts w:ascii="Times New Roman" w:cs="Times New Roman" w:eastAsia="Times New Roman" w:hAnsi="Times New Roman"/>
                <w:sz w:val="22"/>
                <w:szCs w:val="22"/>
                <w:b w:val="1"/>
                <w:bCs w:val="1"/>
                <w:color w:val="auto"/>
              </w:rPr>
              <w:t>13G</w:t>
            </w:r>
          </w:p>
        </w:tc>
        <w:tc>
          <w:tcPr>
            <w:tcW w:w="3260" w:type="dxa"/>
            <w:vAlign w:val="bottom"/>
          </w:tcPr>
          <w:p>
            <w:pPr>
              <w:ind w:left="1560"/>
              <w:spacing w:after="0"/>
              <w:rPr>
                <w:sz w:val="20"/>
                <w:szCs w:val="20"/>
                <w:color w:val="auto"/>
              </w:rPr>
            </w:pPr>
            <w:r>
              <w:rPr>
                <w:rFonts w:ascii="Times New Roman" w:cs="Times New Roman" w:eastAsia="Times New Roman" w:hAnsi="Times New Roman"/>
                <w:sz w:val="22"/>
                <w:szCs w:val="22"/>
                <w:b w:val="1"/>
                <w:bCs w:val="1"/>
                <w:color w:val="auto"/>
                <w:w w:val="97"/>
              </w:rPr>
              <w:t>Page 3 of 10 Pages</w:t>
            </w:r>
          </w:p>
        </w:tc>
        <w:tc>
          <w:tcPr>
            <w:tcW w:w="0" w:type="dxa"/>
            <w:vAlign w:val="bottom"/>
          </w:tcPr>
          <w:p>
            <w:pPr>
              <w:spacing w:after="0"/>
              <w:rPr>
                <w:sz w:val="1"/>
                <w:szCs w:val="1"/>
                <w:color w:val="auto"/>
              </w:rPr>
            </w:pPr>
          </w:p>
        </w:tc>
      </w:tr>
      <w:tr>
        <w:trPr>
          <w:trHeight w:val="555"/>
        </w:trPr>
        <w:tc>
          <w:tcPr>
            <w:tcW w:w="14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460" w:type="dxa"/>
            <w:vAlign w:val="bottom"/>
            <w:vMerge w:val="restart"/>
          </w:tcPr>
          <w:p>
            <w:pPr>
              <w:jc w:val="right"/>
              <w:ind w:right="348"/>
              <w:spacing w:after="0"/>
              <w:rPr>
                <w:sz w:val="20"/>
                <w:szCs w:val="20"/>
                <w:color w:val="auto"/>
              </w:rPr>
            </w:pPr>
            <w:r>
              <w:rPr>
                <w:rFonts w:ascii="Times New Roman" w:cs="Times New Roman" w:eastAsia="Times New Roman" w:hAnsi="Times New Roman"/>
                <w:sz w:val="29"/>
                <w:szCs w:val="29"/>
                <w:b w:val="1"/>
                <w:bCs w:val="1"/>
                <w:color w:val="auto"/>
              </w:rPr>
              <w:t>1</w:t>
            </w:r>
          </w:p>
        </w:tc>
        <w:tc>
          <w:tcPr>
            <w:tcW w:w="34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NAMES OF REPORTING PERSONS</w:t>
            </w:r>
          </w:p>
        </w:tc>
        <w:tc>
          <w:tcPr>
            <w:tcW w:w="304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460" w:type="dxa"/>
            <w:vAlign w:val="bottom"/>
            <w:vMerge w:val="continue"/>
          </w:tcPr>
          <w:p>
            <w:pPr>
              <w:spacing w:after="0"/>
              <w:rPr>
                <w:sz w:val="15"/>
                <w:szCs w:val="15"/>
                <w:color w:val="auto"/>
              </w:rPr>
            </w:pPr>
          </w:p>
        </w:tc>
        <w:tc>
          <w:tcPr>
            <w:tcW w:w="3480" w:type="dxa"/>
            <w:vAlign w:val="bottom"/>
            <w:vMerge w:val="restart"/>
          </w:tcPr>
          <w:p>
            <w:pPr>
              <w:ind w:left="780"/>
              <w:spacing w:after="0"/>
              <w:rPr>
                <w:sz w:val="20"/>
                <w:szCs w:val="20"/>
                <w:color w:val="auto"/>
              </w:rPr>
            </w:pPr>
            <w:r>
              <w:rPr>
                <w:rFonts w:ascii="Times New Roman" w:cs="Times New Roman" w:eastAsia="Times New Roman" w:hAnsi="Times New Roman"/>
                <w:sz w:val="20"/>
                <w:szCs w:val="20"/>
                <w:color w:val="auto"/>
              </w:rPr>
              <w:t>Uncas GP LLC</w:t>
            </w:r>
          </w:p>
        </w:tc>
        <w:tc>
          <w:tcPr>
            <w:tcW w:w="304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460" w:type="dxa"/>
            <w:vAlign w:val="bottom"/>
          </w:tcPr>
          <w:p>
            <w:pPr>
              <w:spacing w:after="0"/>
              <w:rPr>
                <w:sz w:val="6"/>
                <w:szCs w:val="6"/>
                <w:color w:val="auto"/>
              </w:rPr>
            </w:pPr>
          </w:p>
        </w:tc>
        <w:tc>
          <w:tcPr>
            <w:tcW w:w="3480" w:type="dxa"/>
            <w:vAlign w:val="bottom"/>
            <w:vMerge w:val="continue"/>
          </w:tcPr>
          <w:p>
            <w:pPr>
              <w:spacing w:after="0"/>
              <w:rPr>
                <w:sz w:val="6"/>
                <w:szCs w:val="6"/>
                <w:color w:val="auto"/>
              </w:rPr>
            </w:pPr>
          </w:p>
        </w:tc>
        <w:tc>
          <w:tcPr>
            <w:tcW w:w="3040" w:type="dxa"/>
            <w:vAlign w:val="bottom"/>
          </w:tcPr>
          <w:p>
            <w:pPr>
              <w:spacing w:after="0"/>
              <w:rPr>
                <w:sz w:val="6"/>
                <w:szCs w:val="6"/>
                <w:color w:val="auto"/>
              </w:rPr>
            </w:pPr>
          </w:p>
        </w:tc>
        <w:tc>
          <w:tcPr>
            <w:tcW w:w="3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460" w:type="dxa"/>
            <w:vAlign w:val="bottom"/>
            <w:tcBorders>
              <w:bottom w:val="single" w:sz="8" w:color="auto"/>
            </w:tcBorders>
          </w:tcPr>
          <w:p>
            <w:pPr>
              <w:spacing w:after="0"/>
              <w:rPr>
                <w:sz w:val="8"/>
                <w:szCs w:val="8"/>
                <w:color w:val="auto"/>
              </w:rPr>
            </w:pPr>
          </w:p>
        </w:tc>
        <w:tc>
          <w:tcPr>
            <w:tcW w:w="6520" w:type="dxa"/>
            <w:vAlign w:val="bottom"/>
            <w:tcBorders>
              <w:bottom w:val="single" w:sz="8" w:color="auto"/>
            </w:tcBorders>
            <w:gridSpan w:val="2"/>
          </w:tcPr>
          <w:p>
            <w:pPr>
              <w:spacing w:after="0"/>
              <w:rPr>
                <w:sz w:val="8"/>
                <w:szCs w:val="8"/>
                <w:color w:val="auto"/>
              </w:rPr>
            </w:pPr>
          </w:p>
        </w:tc>
        <w:tc>
          <w:tcPr>
            <w:tcW w:w="32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460" w:type="dxa"/>
            <w:vAlign w:val="bottom"/>
            <w:vMerge w:val="restart"/>
          </w:tcPr>
          <w:p>
            <w:pPr>
              <w:jc w:val="right"/>
              <w:ind w:right="348"/>
              <w:spacing w:after="0" w:line="320" w:lineRule="exact"/>
              <w:rPr>
                <w:sz w:val="20"/>
                <w:szCs w:val="20"/>
                <w:color w:val="auto"/>
              </w:rPr>
            </w:pPr>
            <w:r>
              <w:rPr>
                <w:rFonts w:ascii="Times New Roman" w:cs="Times New Roman" w:eastAsia="Times New Roman" w:hAnsi="Times New Roman"/>
                <w:sz w:val="29"/>
                <w:szCs w:val="29"/>
                <w:b w:val="1"/>
                <w:bCs w:val="1"/>
                <w:color w:val="auto"/>
              </w:rPr>
              <w:t>2</w:t>
            </w:r>
          </w:p>
        </w:tc>
        <w:tc>
          <w:tcPr>
            <w:tcW w:w="65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3260" w:type="dxa"/>
            <w:vAlign w:val="bottom"/>
            <w:vMerge w:val="restart"/>
          </w:tcPr>
          <w:p>
            <w:pPr>
              <w:ind w:left="2020"/>
              <w:spacing w:after="0" w:line="320" w:lineRule="exact"/>
              <w:rPr>
                <w:sz w:val="20"/>
                <w:szCs w:val="20"/>
                <w:color w:val="auto"/>
              </w:rPr>
            </w:pPr>
            <w:r>
              <w:rPr>
                <w:rFonts w:ascii="Times New Roman" w:cs="Times New Roman" w:eastAsia="Times New Roman" w:hAnsi="Times New Roman"/>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76"/>
        </w:trPr>
        <w:tc>
          <w:tcPr>
            <w:tcW w:w="1460" w:type="dxa"/>
            <w:vAlign w:val="bottom"/>
            <w:vMerge w:val="continue"/>
          </w:tcPr>
          <w:p>
            <w:pPr>
              <w:spacing w:after="0"/>
              <w:rPr>
                <w:sz w:val="6"/>
                <w:szCs w:val="6"/>
                <w:color w:val="auto"/>
              </w:rPr>
            </w:pPr>
          </w:p>
        </w:tc>
        <w:tc>
          <w:tcPr>
            <w:tcW w:w="3480" w:type="dxa"/>
            <w:vAlign w:val="bottom"/>
          </w:tcPr>
          <w:p>
            <w:pPr>
              <w:spacing w:after="0"/>
              <w:rPr>
                <w:sz w:val="6"/>
                <w:szCs w:val="6"/>
                <w:color w:val="auto"/>
              </w:rPr>
            </w:pPr>
          </w:p>
        </w:tc>
        <w:tc>
          <w:tcPr>
            <w:tcW w:w="3040" w:type="dxa"/>
            <w:vAlign w:val="bottom"/>
          </w:tcPr>
          <w:p>
            <w:pPr>
              <w:spacing w:after="0"/>
              <w:rPr>
                <w:sz w:val="6"/>
                <w:szCs w:val="6"/>
                <w:color w:val="auto"/>
              </w:rPr>
            </w:pPr>
          </w:p>
        </w:tc>
        <w:tc>
          <w:tcPr>
            <w:tcW w:w="3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3"/>
        </w:trPr>
        <w:tc>
          <w:tcPr>
            <w:tcW w:w="14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260" w:type="dxa"/>
            <w:vAlign w:val="bottom"/>
          </w:tcPr>
          <w:p>
            <w:pPr>
              <w:ind w:left="2020"/>
              <w:spacing w:after="0" w:line="322" w:lineRule="exact"/>
              <w:rPr>
                <w:sz w:val="20"/>
                <w:szCs w:val="20"/>
                <w:color w:val="auto"/>
              </w:rPr>
            </w:pPr>
            <w:r>
              <w:rPr>
                <w:rFonts w:ascii="Times New Roman" w:cs="Times New Roman" w:eastAsia="Times New Roman" w:hAnsi="Times New Roman"/>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-888365</wp:posOffset>
            </wp:positionV>
            <wp:extent cx="7132320" cy="46202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ind w:left="1920" w:hanging="1079"/>
        <w:spacing w:after="0" w:line="185" w:lineRule="auto"/>
        <w:tabs>
          <w:tab w:leader="none" w:pos="1920" w:val="left"/>
        </w:tabs>
        <w:numPr>
          <w:ilvl w:val="0"/>
          <w:numId w:val="5"/>
        </w:numPr>
        <w:rPr>
          <w:rFonts w:ascii="Times New Roman" w:cs="Times New Roman" w:eastAsia="Times New Roman" w:hAnsi="Times New Roman"/>
          <w:sz w:val="24"/>
          <w:szCs w:val="24"/>
          <w:b w:val="1"/>
          <w:bCs w:val="1"/>
          <w:color w:val="auto"/>
          <w:vertAlign w:val="subscript"/>
        </w:rPr>
      </w:pPr>
      <w:r>
        <w:rPr>
          <w:rFonts w:ascii="Times New Roman" w:cs="Times New Roman" w:eastAsia="Times New Roman" w:hAnsi="Times New Roman"/>
          <w:sz w:val="13"/>
          <w:szCs w:val="13"/>
          <w:color w:val="auto"/>
        </w:rPr>
        <w:t>SEC USE ONLY</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Delaware</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tcPr>
          <w:p>
            <w:pPr>
              <w:spacing w:after="0"/>
              <w:rPr>
                <w:sz w:val="19"/>
                <w:szCs w:val="1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5</w:t>
            </w:r>
          </w:p>
        </w:tc>
        <w:tc>
          <w:tcPr>
            <w:tcW w:w="5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SOLE VOTING POWER</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- 0 -</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500" w:type="dxa"/>
            <w:vAlign w:val="bottom"/>
            <w:tcBorders>
              <w:bottom w:val="single" w:sz="8" w:color="auto"/>
              <w:right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6</w:t>
            </w:r>
          </w:p>
        </w:tc>
        <w:tc>
          <w:tcPr>
            <w:tcW w:w="59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VOTING POWER</w:t>
            </w: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SHARES</w:t>
            </w: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3,465,000</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BENEFICIALLY</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OWNED BY</w:t>
            </w:r>
          </w:p>
        </w:tc>
        <w:tc>
          <w:tcPr>
            <w:tcW w:w="15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7</w:t>
            </w:r>
          </w:p>
        </w:tc>
        <w:tc>
          <w:tcPr>
            <w:tcW w:w="59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DISPOSITIVE POWER</w:t>
            </w: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EACH</w:t>
            </w: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- 0 -</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REPORTING</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PERSON WITH</w:t>
            </w:r>
          </w:p>
        </w:tc>
        <w:tc>
          <w:tcPr>
            <w:tcW w:w="15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8</w:t>
            </w:r>
          </w:p>
        </w:tc>
        <w:tc>
          <w:tcPr>
            <w:tcW w:w="59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3,465,000</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3,465,000</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rPr>
              <w:t>10</w:t>
            </w:r>
          </w:p>
        </w:tc>
        <w:tc>
          <w:tcPr>
            <w:tcW w:w="7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2040" w:type="dxa"/>
            <w:vAlign w:val="bottom"/>
          </w:tcPr>
          <w:p>
            <w:pPr>
              <w:ind w:left="9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400" w:type="dxa"/>
            <w:vAlign w:val="bottom"/>
            <w:gridSpan w:val="2"/>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1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59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89"/>
              </w:rPr>
              <w:t>11</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7.8%</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rPr>
              <w:t>12</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TYPE OF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OO</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49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CUSIP No. 18978W208</w:t>
            </w:r>
          </w:p>
        </w:tc>
        <w:tc>
          <w:tcPr>
            <w:tcW w:w="3040" w:type="dxa"/>
            <w:vAlign w:val="bottom"/>
          </w:tcPr>
          <w:p>
            <w:pPr>
              <w:ind w:left="500"/>
              <w:spacing w:after="0"/>
              <w:rPr>
                <w:sz w:val="20"/>
                <w:szCs w:val="20"/>
                <w:color w:val="auto"/>
              </w:rPr>
            </w:pPr>
            <w:r>
              <w:rPr>
                <w:rFonts w:ascii="Times New Roman" w:cs="Times New Roman" w:eastAsia="Times New Roman" w:hAnsi="Times New Roman"/>
                <w:sz w:val="22"/>
                <w:szCs w:val="22"/>
                <w:b w:val="1"/>
                <w:bCs w:val="1"/>
                <w:color w:val="auto"/>
              </w:rPr>
              <w:t>13G</w:t>
            </w:r>
          </w:p>
        </w:tc>
        <w:tc>
          <w:tcPr>
            <w:tcW w:w="3260" w:type="dxa"/>
            <w:vAlign w:val="bottom"/>
          </w:tcPr>
          <w:p>
            <w:pPr>
              <w:ind w:left="1560"/>
              <w:spacing w:after="0"/>
              <w:rPr>
                <w:sz w:val="20"/>
                <w:szCs w:val="20"/>
                <w:color w:val="auto"/>
              </w:rPr>
            </w:pPr>
            <w:r>
              <w:rPr>
                <w:rFonts w:ascii="Times New Roman" w:cs="Times New Roman" w:eastAsia="Times New Roman" w:hAnsi="Times New Roman"/>
                <w:sz w:val="22"/>
                <w:szCs w:val="22"/>
                <w:b w:val="1"/>
                <w:bCs w:val="1"/>
                <w:color w:val="auto"/>
                <w:w w:val="97"/>
              </w:rPr>
              <w:t>Page 4 of 10 Pages</w:t>
            </w:r>
          </w:p>
        </w:tc>
        <w:tc>
          <w:tcPr>
            <w:tcW w:w="0" w:type="dxa"/>
            <w:vAlign w:val="bottom"/>
          </w:tcPr>
          <w:p>
            <w:pPr>
              <w:spacing w:after="0"/>
              <w:rPr>
                <w:sz w:val="1"/>
                <w:szCs w:val="1"/>
                <w:color w:val="auto"/>
              </w:rPr>
            </w:pPr>
          </w:p>
        </w:tc>
      </w:tr>
      <w:tr>
        <w:trPr>
          <w:trHeight w:val="555"/>
        </w:trPr>
        <w:tc>
          <w:tcPr>
            <w:tcW w:w="14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460" w:type="dxa"/>
            <w:vAlign w:val="bottom"/>
            <w:vMerge w:val="restart"/>
          </w:tcPr>
          <w:p>
            <w:pPr>
              <w:jc w:val="right"/>
              <w:ind w:right="348"/>
              <w:spacing w:after="0"/>
              <w:rPr>
                <w:sz w:val="20"/>
                <w:szCs w:val="20"/>
                <w:color w:val="auto"/>
              </w:rPr>
            </w:pPr>
            <w:r>
              <w:rPr>
                <w:rFonts w:ascii="Times New Roman" w:cs="Times New Roman" w:eastAsia="Times New Roman" w:hAnsi="Times New Roman"/>
                <w:sz w:val="29"/>
                <w:szCs w:val="29"/>
                <w:b w:val="1"/>
                <w:bCs w:val="1"/>
                <w:color w:val="auto"/>
              </w:rPr>
              <w:t>1</w:t>
            </w:r>
          </w:p>
        </w:tc>
        <w:tc>
          <w:tcPr>
            <w:tcW w:w="34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NAMES OF REPORTING PERSONS</w:t>
            </w:r>
          </w:p>
        </w:tc>
        <w:tc>
          <w:tcPr>
            <w:tcW w:w="304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460" w:type="dxa"/>
            <w:vAlign w:val="bottom"/>
            <w:vMerge w:val="continue"/>
          </w:tcPr>
          <w:p>
            <w:pPr>
              <w:spacing w:after="0"/>
              <w:rPr>
                <w:sz w:val="15"/>
                <w:szCs w:val="15"/>
                <w:color w:val="auto"/>
              </w:rPr>
            </w:pPr>
          </w:p>
        </w:tc>
        <w:tc>
          <w:tcPr>
            <w:tcW w:w="3480" w:type="dxa"/>
            <w:vAlign w:val="bottom"/>
            <w:vMerge w:val="restart"/>
          </w:tcPr>
          <w:p>
            <w:pPr>
              <w:ind w:left="780"/>
              <w:spacing w:after="0"/>
              <w:rPr>
                <w:sz w:val="20"/>
                <w:szCs w:val="20"/>
                <w:color w:val="auto"/>
              </w:rPr>
            </w:pPr>
            <w:r>
              <w:rPr>
                <w:rFonts w:ascii="Times New Roman" w:cs="Times New Roman" w:eastAsia="Times New Roman" w:hAnsi="Times New Roman"/>
                <w:sz w:val="20"/>
                <w:szCs w:val="20"/>
                <w:color w:val="auto"/>
              </w:rPr>
              <w:t>Sachem Head GP LLC</w:t>
            </w:r>
          </w:p>
        </w:tc>
        <w:tc>
          <w:tcPr>
            <w:tcW w:w="304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460" w:type="dxa"/>
            <w:vAlign w:val="bottom"/>
          </w:tcPr>
          <w:p>
            <w:pPr>
              <w:spacing w:after="0"/>
              <w:rPr>
                <w:sz w:val="6"/>
                <w:szCs w:val="6"/>
                <w:color w:val="auto"/>
              </w:rPr>
            </w:pPr>
          </w:p>
        </w:tc>
        <w:tc>
          <w:tcPr>
            <w:tcW w:w="3480" w:type="dxa"/>
            <w:vAlign w:val="bottom"/>
            <w:vMerge w:val="continue"/>
          </w:tcPr>
          <w:p>
            <w:pPr>
              <w:spacing w:after="0"/>
              <w:rPr>
                <w:sz w:val="6"/>
                <w:szCs w:val="6"/>
                <w:color w:val="auto"/>
              </w:rPr>
            </w:pPr>
          </w:p>
        </w:tc>
        <w:tc>
          <w:tcPr>
            <w:tcW w:w="3040" w:type="dxa"/>
            <w:vAlign w:val="bottom"/>
          </w:tcPr>
          <w:p>
            <w:pPr>
              <w:spacing w:after="0"/>
              <w:rPr>
                <w:sz w:val="6"/>
                <w:szCs w:val="6"/>
                <w:color w:val="auto"/>
              </w:rPr>
            </w:pPr>
          </w:p>
        </w:tc>
        <w:tc>
          <w:tcPr>
            <w:tcW w:w="3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460" w:type="dxa"/>
            <w:vAlign w:val="bottom"/>
            <w:tcBorders>
              <w:bottom w:val="single" w:sz="8" w:color="auto"/>
            </w:tcBorders>
          </w:tcPr>
          <w:p>
            <w:pPr>
              <w:spacing w:after="0"/>
              <w:rPr>
                <w:sz w:val="8"/>
                <w:szCs w:val="8"/>
                <w:color w:val="auto"/>
              </w:rPr>
            </w:pPr>
          </w:p>
        </w:tc>
        <w:tc>
          <w:tcPr>
            <w:tcW w:w="6520" w:type="dxa"/>
            <w:vAlign w:val="bottom"/>
            <w:tcBorders>
              <w:bottom w:val="single" w:sz="8" w:color="auto"/>
            </w:tcBorders>
            <w:gridSpan w:val="2"/>
          </w:tcPr>
          <w:p>
            <w:pPr>
              <w:spacing w:after="0"/>
              <w:rPr>
                <w:sz w:val="8"/>
                <w:szCs w:val="8"/>
                <w:color w:val="auto"/>
              </w:rPr>
            </w:pPr>
          </w:p>
        </w:tc>
        <w:tc>
          <w:tcPr>
            <w:tcW w:w="32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460" w:type="dxa"/>
            <w:vAlign w:val="bottom"/>
            <w:vMerge w:val="restart"/>
          </w:tcPr>
          <w:p>
            <w:pPr>
              <w:jc w:val="right"/>
              <w:ind w:right="348"/>
              <w:spacing w:after="0" w:line="320" w:lineRule="exact"/>
              <w:rPr>
                <w:sz w:val="20"/>
                <w:szCs w:val="20"/>
                <w:color w:val="auto"/>
              </w:rPr>
            </w:pPr>
            <w:r>
              <w:rPr>
                <w:rFonts w:ascii="Times New Roman" w:cs="Times New Roman" w:eastAsia="Times New Roman" w:hAnsi="Times New Roman"/>
                <w:sz w:val="29"/>
                <w:szCs w:val="29"/>
                <w:b w:val="1"/>
                <w:bCs w:val="1"/>
                <w:color w:val="auto"/>
              </w:rPr>
              <w:t>2</w:t>
            </w:r>
          </w:p>
        </w:tc>
        <w:tc>
          <w:tcPr>
            <w:tcW w:w="65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3260" w:type="dxa"/>
            <w:vAlign w:val="bottom"/>
            <w:vMerge w:val="restart"/>
          </w:tcPr>
          <w:p>
            <w:pPr>
              <w:ind w:left="2020"/>
              <w:spacing w:after="0" w:line="320" w:lineRule="exact"/>
              <w:rPr>
                <w:sz w:val="20"/>
                <w:szCs w:val="20"/>
                <w:color w:val="auto"/>
              </w:rPr>
            </w:pPr>
            <w:r>
              <w:rPr>
                <w:rFonts w:ascii="Times New Roman" w:cs="Times New Roman" w:eastAsia="Times New Roman" w:hAnsi="Times New Roman"/>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76"/>
        </w:trPr>
        <w:tc>
          <w:tcPr>
            <w:tcW w:w="1460" w:type="dxa"/>
            <w:vAlign w:val="bottom"/>
            <w:vMerge w:val="continue"/>
          </w:tcPr>
          <w:p>
            <w:pPr>
              <w:spacing w:after="0"/>
              <w:rPr>
                <w:sz w:val="6"/>
                <w:szCs w:val="6"/>
                <w:color w:val="auto"/>
              </w:rPr>
            </w:pPr>
          </w:p>
        </w:tc>
        <w:tc>
          <w:tcPr>
            <w:tcW w:w="3480" w:type="dxa"/>
            <w:vAlign w:val="bottom"/>
          </w:tcPr>
          <w:p>
            <w:pPr>
              <w:spacing w:after="0"/>
              <w:rPr>
                <w:sz w:val="6"/>
                <w:szCs w:val="6"/>
                <w:color w:val="auto"/>
              </w:rPr>
            </w:pPr>
          </w:p>
        </w:tc>
        <w:tc>
          <w:tcPr>
            <w:tcW w:w="3040" w:type="dxa"/>
            <w:vAlign w:val="bottom"/>
          </w:tcPr>
          <w:p>
            <w:pPr>
              <w:spacing w:after="0"/>
              <w:rPr>
                <w:sz w:val="6"/>
                <w:szCs w:val="6"/>
                <w:color w:val="auto"/>
              </w:rPr>
            </w:pPr>
          </w:p>
        </w:tc>
        <w:tc>
          <w:tcPr>
            <w:tcW w:w="3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3"/>
        </w:trPr>
        <w:tc>
          <w:tcPr>
            <w:tcW w:w="14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260" w:type="dxa"/>
            <w:vAlign w:val="bottom"/>
          </w:tcPr>
          <w:p>
            <w:pPr>
              <w:ind w:left="2020"/>
              <w:spacing w:after="0" w:line="322" w:lineRule="exact"/>
              <w:rPr>
                <w:sz w:val="20"/>
                <w:szCs w:val="20"/>
                <w:color w:val="auto"/>
              </w:rPr>
            </w:pPr>
            <w:r>
              <w:rPr>
                <w:rFonts w:ascii="Times New Roman" w:cs="Times New Roman" w:eastAsia="Times New Roman" w:hAnsi="Times New Roman"/>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-889000</wp:posOffset>
            </wp:positionV>
            <wp:extent cx="7132320" cy="46202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ind w:left="1920" w:hanging="1079"/>
        <w:spacing w:after="0" w:line="185" w:lineRule="auto"/>
        <w:tabs>
          <w:tab w:leader="none" w:pos="1920" w:val="left"/>
        </w:tabs>
        <w:numPr>
          <w:ilvl w:val="0"/>
          <w:numId w:val="6"/>
        </w:numPr>
        <w:rPr>
          <w:rFonts w:ascii="Times New Roman" w:cs="Times New Roman" w:eastAsia="Times New Roman" w:hAnsi="Times New Roman"/>
          <w:sz w:val="24"/>
          <w:szCs w:val="24"/>
          <w:b w:val="1"/>
          <w:bCs w:val="1"/>
          <w:color w:val="auto"/>
          <w:vertAlign w:val="subscript"/>
        </w:rPr>
      </w:pPr>
      <w:r>
        <w:rPr>
          <w:rFonts w:ascii="Times New Roman" w:cs="Times New Roman" w:eastAsia="Times New Roman" w:hAnsi="Times New Roman"/>
          <w:sz w:val="13"/>
          <w:szCs w:val="13"/>
          <w:color w:val="auto"/>
        </w:rPr>
        <w:t>SEC USE ONLY</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Delaware</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tcPr>
          <w:p>
            <w:pPr>
              <w:spacing w:after="0"/>
              <w:rPr>
                <w:sz w:val="19"/>
                <w:szCs w:val="1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5</w:t>
            </w:r>
          </w:p>
        </w:tc>
        <w:tc>
          <w:tcPr>
            <w:tcW w:w="5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SOLE VOTING POWER</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- 0 -</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500" w:type="dxa"/>
            <w:vAlign w:val="bottom"/>
            <w:tcBorders>
              <w:bottom w:val="single" w:sz="8" w:color="auto"/>
              <w:right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6</w:t>
            </w:r>
          </w:p>
        </w:tc>
        <w:tc>
          <w:tcPr>
            <w:tcW w:w="59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VOTING POWER</w:t>
            </w: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SHARES</w:t>
            </w: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3,465,000</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BENEFICIALLY</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OWNED BY</w:t>
            </w:r>
          </w:p>
        </w:tc>
        <w:tc>
          <w:tcPr>
            <w:tcW w:w="15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7</w:t>
            </w:r>
          </w:p>
        </w:tc>
        <w:tc>
          <w:tcPr>
            <w:tcW w:w="59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DISPOSITIVE POWER</w:t>
            </w: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EACH</w:t>
            </w: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- 0 -</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REPORTING</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PERSON WITH</w:t>
            </w:r>
          </w:p>
        </w:tc>
        <w:tc>
          <w:tcPr>
            <w:tcW w:w="15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8</w:t>
            </w:r>
          </w:p>
        </w:tc>
        <w:tc>
          <w:tcPr>
            <w:tcW w:w="59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3,465,000</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3,465,000</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rPr>
              <w:t>10</w:t>
            </w:r>
          </w:p>
        </w:tc>
        <w:tc>
          <w:tcPr>
            <w:tcW w:w="7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2040" w:type="dxa"/>
            <w:vAlign w:val="bottom"/>
          </w:tcPr>
          <w:p>
            <w:pPr>
              <w:ind w:left="9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400" w:type="dxa"/>
            <w:vAlign w:val="bottom"/>
            <w:gridSpan w:val="2"/>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59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89"/>
              </w:rPr>
              <w:t>11</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7.8%</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rPr>
              <w:t>12</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TYPE OF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OO</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49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CUSIP No. 18978W208</w:t>
            </w:r>
          </w:p>
        </w:tc>
        <w:tc>
          <w:tcPr>
            <w:tcW w:w="3040" w:type="dxa"/>
            <w:vAlign w:val="bottom"/>
          </w:tcPr>
          <w:p>
            <w:pPr>
              <w:ind w:left="500"/>
              <w:spacing w:after="0"/>
              <w:rPr>
                <w:sz w:val="20"/>
                <w:szCs w:val="20"/>
                <w:color w:val="auto"/>
              </w:rPr>
            </w:pPr>
            <w:r>
              <w:rPr>
                <w:rFonts w:ascii="Times New Roman" w:cs="Times New Roman" w:eastAsia="Times New Roman" w:hAnsi="Times New Roman"/>
                <w:sz w:val="22"/>
                <w:szCs w:val="22"/>
                <w:b w:val="1"/>
                <w:bCs w:val="1"/>
                <w:color w:val="auto"/>
              </w:rPr>
              <w:t>13G</w:t>
            </w:r>
          </w:p>
        </w:tc>
        <w:tc>
          <w:tcPr>
            <w:tcW w:w="3260" w:type="dxa"/>
            <w:vAlign w:val="bottom"/>
          </w:tcPr>
          <w:p>
            <w:pPr>
              <w:ind w:left="1560"/>
              <w:spacing w:after="0"/>
              <w:rPr>
                <w:sz w:val="20"/>
                <w:szCs w:val="20"/>
                <w:color w:val="auto"/>
              </w:rPr>
            </w:pPr>
            <w:r>
              <w:rPr>
                <w:rFonts w:ascii="Times New Roman" w:cs="Times New Roman" w:eastAsia="Times New Roman" w:hAnsi="Times New Roman"/>
                <w:sz w:val="22"/>
                <w:szCs w:val="22"/>
                <w:b w:val="1"/>
                <w:bCs w:val="1"/>
                <w:color w:val="auto"/>
                <w:w w:val="97"/>
              </w:rPr>
              <w:t>Page 5 of 10 Pages</w:t>
            </w:r>
          </w:p>
        </w:tc>
        <w:tc>
          <w:tcPr>
            <w:tcW w:w="0" w:type="dxa"/>
            <w:vAlign w:val="bottom"/>
          </w:tcPr>
          <w:p>
            <w:pPr>
              <w:spacing w:after="0"/>
              <w:rPr>
                <w:sz w:val="1"/>
                <w:szCs w:val="1"/>
                <w:color w:val="auto"/>
              </w:rPr>
            </w:pPr>
          </w:p>
        </w:tc>
      </w:tr>
      <w:tr>
        <w:trPr>
          <w:trHeight w:val="326"/>
        </w:trPr>
        <w:tc>
          <w:tcPr>
            <w:tcW w:w="14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460" w:type="dxa"/>
            <w:vAlign w:val="bottom"/>
            <w:vMerge w:val="restart"/>
          </w:tcPr>
          <w:p>
            <w:pPr>
              <w:jc w:val="right"/>
              <w:ind w:right="348"/>
              <w:spacing w:after="0"/>
              <w:rPr>
                <w:sz w:val="20"/>
                <w:szCs w:val="20"/>
                <w:color w:val="auto"/>
              </w:rPr>
            </w:pPr>
            <w:r>
              <w:rPr>
                <w:rFonts w:ascii="Times New Roman" w:cs="Times New Roman" w:eastAsia="Times New Roman" w:hAnsi="Times New Roman"/>
                <w:sz w:val="29"/>
                <w:szCs w:val="29"/>
                <w:b w:val="1"/>
                <w:bCs w:val="1"/>
                <w:color w:val="auto"/>
              </w:rPr>
              <w:t>1</w:t>
            </w:r>
          </w:p>
        </w:tc>
        <w:tc>
          <w:tcPr>
            <w:tcW w:w="34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NAMES OF REPORTING PERSONS</w:t>
            </w:r>
          </w:p>
        </w:tc>
        <w:tc>
          <w:tcPr>
            <w:tcW w:w="304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460" w:type="dxa"/>
            <w:vAlign w:val="bottom"/>
            <w:vMerge w:val="continue"/>
          </w:tcPr>
          <w:p>
            <w:pPr>
              <w:spacing w:after="0"/>
              <w:rPr>
                <w:sz w:val="15"/>
                <w:szCs w:val="15"/>
                <w:color w:val="auto"/>
              </w:rPr>
            </w:pPr>
          </w:p>
        </w:tc>
        <w:tc>
          <w:tcPr>
            <w:tcW w:w="3480" w:type="dxa"/>
            <w:vAlign w:val="bottom"/>
            <w:vMerge w:val="restart"/>
          </w:tcPr>
          <w:p>
            <w:pPr>
              <w:ind w:left="780"/>
              <w:spacing w:after="0"/>
              <w:rPr>
                <w:sz w:val="20"/>
                <w:szCs w:val="20"/>
                <w:color w:val="auto"/>
              </w:rPr>
            </w:pPr>
            <w:r>
              <w:rPr>
                <w:rFonts w:ascii="Times New Roman" w:cs="Times New Roman" w:eastAsia="Times New Roman" w:hAnsi="Times New Roman"/>
                <w:sz w:val="20"/>
                <w:szCs w:val="20"/>
                <w:color w:val="auto"/>
              </w:rPr>
              <w:t>Scott D. Ferguson</w:t>
            </w:r>
          </w:p>
        </w:tc>
        <w:tc>
          <w:tcPr>
            <w:tcW w:w="304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460" w:type="dxa"/>
            <w:vAlign w:val="bottom"/>
          </w:tcPr>
          <w:p>
            <w:pPr>
              <w:spacing w:after="0"/>
              <w:rPr>
                <w:sz w:val="6"/>
                <w:szCs w:val="6"/>
                <w:color w:val="auto"/>
              </w:rPr>
            </w:pPr>
          </w:p>
        </w:tc>
        <w:tc>
          <w:tcPr>
            <w:tcW w:w="3480" w:type="dxa"/>
            <w:vAlign w:val="bottom"/>
            <w:vMerge w:val="continue"/>
          </w:tcPr>
          <w:p>
            <w:pPr>
              <w:spacing w:after="0"/>
              <w:rPr>
                <w:sz w:val="6"/>
                <w:szCs w:val="6"/>
                <w:color w:val="auto"/>
              </w:rPr>
            </w:pPr>
          </w:p>
        </w:tc>
        <w:tc>
          <w:tcPr>
            <w:tcW w:w="3040" w:type="dxa"/>
            <w:vAlign w:val="bottom"/>
          </w:tcPr>
          <w:p>
            <w:pPr>
              <w:spacing w:after="0"/>
              <w:rPr>
                <w:sz w:val="6"/>
                <w:szCs w:val="6"/>
                <w:color w:val="auto"/>
              </w:rPr>
            </w:pPr>
          </w:p>
        </w:tc>
        <w:tc>
          <w:tcPr>
            <w:tcW w:w="3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460" w:type="dxa"/>
            <w:vAlign w:val="bottom"/>
            <w:tcBorders>
              <w:bottom w:val="single" w:sz="8" w:color="auto"/>
            </w:tcBorders>
          </w:tcPr>
          <w:p>
            <w:pPr>
              <w:spacing w:after="0"/>
              <w:rPr>
                <w:sz w:val="8"/>
                <w:szCs w:val="8"/>
                <w:color w:val="auto"/>
              </w:rPr>
            </w:pPr>
          </w:p>
        </w:tc>
        <w:tc>
          <w:tcPr>
            <w:tcW w:w="6520" w:type="dxa"/>
            <w:vAlign w:val="bottom"/>
            <w:tcBorders>
              <w:bottom w:val="single" w:sz="8" w:color="auto"/>
            </w:tcBorders>
            <w:gridSpan w:val="2"/>
          </w:tcPr>
          <w:p>
            <w:pPr>
              <w:spacing w:after="0"/>
              <w:rPr>
                <w:sz w:val="8"/>
                <w:szCs w:val="8"/>
                <w:color w:val="auto"/>
              </w:rPr>
            </w:pPr>
          </w:p>
        </w:tc>
        <w:tc>
          <w:tcPr>
            <w:tcW w:w="32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460" w:type="dxa"/>
            <w:vAlign w:val="bottom"/>
            <w:vMerge w:val="restart"/>
          </w:tcPr>
          <w:p>
            <w:pPr>
              <w:jc w:val="right"/>
              <w:ind w:right="348"/>
              <w:spacing w:after="0" w:line="320" w:lineRule="exact"/>
              <w:rPr>
                <w:sz w:val="20"/>
                <w:szCs w:val="20"/>
                <w:color w:val="auto"/>
              </w:rPr>
            </w:pPr>
            <w:r>
              <w:rPr>
                <w:rFonts w:ascii="Times New Roman" w:cs="Times New Roman" w:eastAsia="Times New Roman" w:hAnsi="Times New Roman"/>
                <w:sz w:val="29"/>
                <w:szCs w:val="29"/>
                <w:b w:val="1"/>
                <w:bCs w:val="1"/>
                <w:color w:val="auto"/>
              </w:rPr>
              <w:t>2</w:t>
            </w:r>
          </w:p>
        </w:tc>
        <w:tc>
          <w:tcPr>
            <w:tcW w:w="65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3260" w:type="dxa"/>
            <w:vAlign w:val="bottom"/>
            <w:vMerge w:val="restart"/>
          </w:tcPr>
          <w:p>
            <w:pPr>
              <w:ind w:left="2020"/>
              <w:spacing w:after="0" w:line="320" w:lineRule="exact"/>
              <w:rPr>
                <w:sz w:val="20"/>
                <w:szCs w:val="20"/>
                <w:color w:val="auto"/>
              </w:rPr>
            </w:pPr>
            <w:r>
              <w:rPr>
                <w:rFonts w:ascii="Times New Roman" w:cs="Times New Roman" w:eastAsia="Times New Roman" w:hAnsi="Times New Roman"/>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76"/>
        </w:trPr>
        <w:tc>
          <w:tcPr>
            <w:tcW w:w="1460" w:type="dxa"/>
            <w:vAlign w:val="bottom"/>
            <w:vMerge w:val="continue"/>
          </w:tcPr>
          <w:p>
            <w:pPr>
              <w:spacing w:after="0"/>
              <w:rPr>
                <w:sz w:val="6"/>
                <w:szCs w:val="6"/>
                <w:color w:val="auto"/>
              </w:rPr>
            </w:pPr>
          </w:p>
        </w:tc>
        <w:tc>
          <w:tcPr>
            <w:tcW w:w="3480" w:type="dxa"/>
            <w:vAlign w:val="bottom"/>
          </w:tcPr>
          <w:p>
            <w:pPr>
              <w:spacing w:after="0"/>
              <w:rPr>
                <w:sz w:val="6"/>
                <w:szCs w:val="6"/>
                <w:color w:val="auto"/>
              </w:rPr>
            </w:pPr>
          </w:p>
        </w:tc>
        <w:tc>
          <w:tcPr>
            <w:tcW w:w="3040" w:type="dxa"/>
            <w:vAlign w:val="bottom"/>
          </w:tcPr>
          <w:p>
            <w:pPr>
              <w:spacing w:after="0"/>
              <w:rPr>
                <w:sz w:val="6"/>
                <w:szCs w:val="6"/>
                <w:color w:val="auto"/>
              </w:rPr>
            </w:pPr>
          </w:p>
        </w:tc>
        <w:tc>
          <w:tcPr>
            <w:tcW w:w="3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3"/>
        </w:trPr>
        <w:tc>
          <w:tcPr>
            <w:tcW w:w="14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260" w:type="dxa"/>
            <w:vAlign w:val="bottom"/>
          </w:tcPr>
          <w:p>
            <w:pPr>
              <w:ind w:left="2020"/>
              <w:spacing w:after="0" w:line="322" w:lineRule="exact"/>
              <w:rPr>
                <w:sz w:val="20"/>
                <w:szCs w:val="20"/>
                <w:color w:val="auto"/>
              </w:rPr>
            </w:pPr>
            <w:r>
              <w:rPr>
                <w:rFonts w:ascii="Times New Roman" w:cs="Times New Roman" w:eastAsia="Times New Roman" w:hAnsi="Times New Roman"/>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-889000</wp:posOffset>
            </wp:positionV>
            <wp:extent cx="7132320" cy="46202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ind w:left="1920" w:hanging="1079"/>
        <w:spacing w:after="0" w:line="185" w:lineRule="auto"/>
        <w:tabs>
          <w:tab w:leader="none" w:pos="1920" w:val="left"/>
        </w:tabs>
        <w:numPr>
          <w:ilvl w:val="0"/>
          <w:numId w:val="7"/>
        </w:numPr>
        <w:rPr>
          <w:rFonts w:ascii="Times New Roman" w:cs="Times New Roman" w:eastAsia="Times New Roman" w:hAnsi="Times New Roman"/>
          <w:sz w:val="24"/>
          <w:szCs w:val="24"/>
          <w:b w:val="1"/>
          <w:bCs w:val="1"/>
          <w:color w:val="auto"/>
          <w:vertAlign w:val="subscript"/>
        </w:rPr>
      </w:pPr>
      <w:r>
        <w:rPr>
          <w:rFonts w:ascii="Times New Roman" w:cs="Times New Roman" w:eastAsia="Times New Roman" w:hAnsi="Times New Roman"/>
          <w:sz w:val="13"/>
          <w:szCs w:val="13"/>
          <w:color w:val="auto"/>
        </w:rPr>
        <w:t>SEC USE ONLY</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74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60" w:type="dxa"/>
            <w:vAlign w:val="bottom"/>
            <w:gridSpan w:val="2"/>
            <w:vMerge w:val="restart"/>
          </w:tcPr>
          <w:p>
            <w:pPr>
              <w:ind w:left="440"/>
              <w:spacing w:after="0"/>
              <w:rPr>
                <w:sz w:val="20"/>
                <w:szCs w:val="20"/>
                <w:color w:val="auto"/>
              </w:rPr>
            </w:pPr>
            <w:r>
              <w:rPr>
                <w:rFonts w:ascii="Times New Roman" w:cs="Times New Roman" w:eastAsia="Times New Roman" w:hAnsi="Times New Roman"/>
                <w:sz w:val="20"/>
                <w:szCs w:val="20"/>
                <w:color w:val="auto"/>
              </w:rPr>
              <w:t>United States</w:t>
            </w:r>
          </w:p>
        </w:tc>
        <w:tc>
          <w:tcPr>
            <w:tcW w:w="58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58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4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tcPr>
          <w:p>
            <w:pPr>
              <w:spacing w:after="0"/>
              <w:rPr>
                <w:sz w:val="19"/>
                <w:szCs w:val="1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5</w:t>
            </w:r>
          </w:p>
        </w:tc>
        <w:tc>
          <w:tcPr>
            <w:tcW w:w="60" w:type="dxa"/>
            <w:vAlign w:val="bottom"/>
          </w:tcPr>
          <w:p>
            <w:pPr>
              <w:spacing w:after="0"/>
              <w:rPr>
                <w:sz w:val="19"/>
                <w:szCs w:val="19"/>
                <w:color w:val="auto"/>
              </w:rPr>
            </w:pPr>
          </w:p>
        </w:tc>
        <w:tc>
          <w:tcPr>
            <w:tcW w:w="5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SOLE VOTING POWER</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584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auto"/>
              </w:rPr>
              <w:t>- 0 -</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500" w:type="dxa"/>
            <w:vAlign w:val="bottom"/>
            <w:tcBorders>
              <w:bottom w:val="single" w:sz="8" w:color="auto"/>
              <w:right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4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6</w:t>
            </w:r>
          </w:p>
        </w:tc>
        <w:tc>
          <w:tcPr>
            <w:tcW w:w="60" w:type="dxa"/>
            <w:vAlign w:val="bottom"/>
          </w:tcPr>
          <w:p>
            <w:pPr>
              <w:spacing w:after="0"/>
              <w:rPr>
                <w:sz w:val="8"/>
                <w:szCs w:val="8"/>
                <w:color w:val="auto"/>
              </w:rPr>
            </w:pPr>
          </w:p>
        </w:tc>
        <w:tc>
          <w:tcPr>
            <w:tcW w:w="58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SHARED VOTING POWER</w:t>
            </w: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SHARES</w:t>
            </w:r>
          </w:p>
        </w:tc>
        <w:tc>
          <w:tcPr>
            <w:tcW w:w="150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584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auto"/>
              </w:rPr>
              <w:t>3,465,000</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BENEFICIALLY</w:t>
            </w:r>
          </w:p>
        </w:tc>
        <w:tc>
          <w:tcPr>
            <w:tcW w:w="15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84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OWNED BY</w:t>
            </w:r>
          </w:p>
        </w:tc>
        <w:tc>
          <w:tcPr>
            <w:tcW w:w="1500" w:type="dxa"/>
            <w:vAlign w:val="bottom"/>
            <w:tcBorders>
              <w:bottom w:val="single" w:sz="8" w:color="auto"/>
              <w:right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7</w:t>
            </w:r>
          </w:p>
        </w:tc>
        <w:tc>
          <w:tcPr>
            <w:tcW w:w="60" w:type="dxa"/>
            <w:vAlign w:val="bottom"/>
          </w:tcPr>
          <w:p>
            <w:pPr>
              <w:spacing w:after="0"/>
              <w:rPr>
                <w:sz w:val="8"/>
                <w:szCs w:val="8"/>
                <w:color w:val="auto"/>
              </w:rPr>
            </w:pPr>
          </w:p>
        </w:tc>
        <w:tc>
          <w:tcPr>
            <w:tcW w:w="58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SOLE DISPOSITIVE POWER</w:t>
            </w: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EACH</w:t>
            </w:r>
          </w:p>
        </w:tc>
        <w:tc>
          <w:tcPr>
            <w:tcW w:w="150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584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auto"/>
              </w:rPr>
              <w:t>- 0 -</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REPORTING</w:t>
            </w:r>
          </w:p>
        </w:tc>
        <w:tc>
          <w:tcPr>
            <w:tcW w:w="15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84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PERSON WITH</w:t>
            </w:r>
          </w:p>
        </w:tc>
        <w:tc>
          <w:tcPr>
            <w:tcW w:w="1500" w:type="dxa"/>
            <w:vAlign w:val="bottom"/>
            <w:tcBorders>
              <w:bottom w:val="single" w:sz="8" w:color="auto"/>
              <w:right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8</w:t>
            </w:r>
          </w:p>
        </w:tc>
        <w:tc>
          <w:tcPr>
            <w:tcW w:w="60" w:type="dxa"/>
            <w:vAlign w:val="bottom"/>
          </w:tcPr>
          <w:p>
            <w:pPr>
              <w:spacing w:after="0"/>
              <w:rPr>
                <w:sz w:val="9"/>
                <w:szCs w:val="9"/>
                <w:color w:val="auto"/>
              </w:rPr>
            </w:pPr>
          </w:p>
        </w:tc>
        <w:tc>
          <w:tcPr>
            <w:tcW w:w="58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SHARED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584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584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auto"/>
              </w:rPr>
              <w:t>3,465,000</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5900" w:type="dxa"/>
            <w:vAlign w:val="bottom"/>
            <w:tcBorders>
              <w:bottom w:val="single" w:sz="8" w:color="auto"/>
            </w:tcBorders>
            <w:gridSpan w:val="2"/>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74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3,465,000</w:t>
            </w:r>
          </w:p>
        </w:tc>
        <w:tc>
          <w:tcPr>
            <w:tcW w:w="6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4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rPr>
              <w:t>10</w:t>
            </w:r>
          </w:p>
        </w:tc>
        <w:tc>
          <w:tcPr>
            <w:tcW w:w="74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2040" w:type="dxa"/>
            <w:vAlign w:val="bottom"/>
          </w:tcPr>
          <w:p>
            <w:pPr>
              <w:ind w:left="9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400" w:type="dxa"/>
            <w:vAlign w:val="bottom"/>
            <w:gridSpan w:val="3"/>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5900" w:type="dxa"/>
            <w:vAlign w:val="bottom"/>
            <w:tcBorders>
              <w:bottom w:val="single" w:sz="8" w:color="auto"/>
            </w:tcBorders>
            <w:gridSpan w:val="2"/>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89"/>
              </w:rPr>
              <w:t>11</w:t>
            </w:r>
          </w:p>
        </w:tc>
        <w:tc>
          <w:tcPr>
            <w:tcW w:w="74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7.8%</w:t>
            </w:r>
          </w:p>
        </w:tc>
        <w:tc>
          <w:tcPr>
            <w:tcW w:w="6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gridSpan w:val="2"/>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rPr>
              <w:t>12</w:t>
            </w:r>
          </w:p>
        </w:tc>
        <w:tc>
          <w:tcPr>
            <w:tcW w:w="74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TYPE OF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60" w:type="dxa"/>
            <w:vAlign w:val="bottom"/>
            <w:gridSpan w:val="2"/>
            <w:vMerge w:val="restart"/>
          </w:tcPr>
          <w:p>
            <w:pPr>
              <w:ind w:left="440"/>
              <w:spacing w:after="0"/>
              <w:rPr>
                <w:sz w:val="20"/>
                <w:szCs w:val="20"/>
                <w:color w:val="auto"/>
              </w:rPr>
            </w:pPr>
            <w:r>
              <w:rPr>
                <w:rFonts w:ascii="Times New Roman" w:cs="Times New Roman" w:eastAsia="Times New Roman" w:hAnsi="Times New Roman"/>
                <w:sz w:val="20"/>
                <w:szCs w:val="20"/>
                <w:color w:val="auto"/>
              </w:rPr>
              <w:t>IN</w:t>
            </w:r>
          </w:p>
        </w:tc>
        <w:tc>
          <w:tcPr>
            <w:tcW w:w="58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58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5" w:name="page6"/>
    <w:bookmarkEnd w:id="5"/>
    <w:p>
      <w:pPr>
        <w:spacing w:after="0"/>
        <w:tabs>
          <w:tab w:leader="none" w:pos="5420" w:val="left"/>
          <w:tab w:leader="none" w:pos="9520" w:val="left"/>
        </w:tabs>
        <w:rPr>
          <w:sz w:val="20"/>
          <w:szCs w:val="20"/>
          <w:color w:val="auto"/>
        </w:rPr>
      </w:pPr>
      <w:r>
        <w:rPr>
          <w:rFonts w:ascii="Times New Roman" w:cs="Times New Roman" w:eastAsia="Times New Roman" w:hAnsi="Times New Roman"/>
          <w:sz w:val="22"/>
          <w:szCs w:val="22"/>
          <w:b w:val="1"/>
          <w:bCs w:val="1"/>
          <w:color w:val="auto"/>
        </w:rPr>
        <w:t>CUSIP No. 18978W208</w:t>
      </w:r>
      <w:r>
        <w:rPr>
          <w:sz w:val="20"/>
          <w:szCs w:val="20"/>
          <w:color w:val="auto"/>
        </w:rPr>
        <w:tab/>
      </w:r>
      <w:r>
        <w:rPr>
          <w:rFonts w:ascii="Times New Roman" w:cs="Times New Roman" w:eastAsia="Times New Roman" w:hAnsi="Times New Roman"/>
          <w:sz w:val="22"/>
          <w:szCs w:val="22"/>
          <w:b w:val="1"/>
          <w:bCs w:val="1"/>
          <w:color w:val="auto"/>
        </w:rPr>
        <w:t>13G</w:t>
      </w:r>
      <w:r>
        <w:rPr>
          <w:sz w:val="20"/>
          <w:szCs w:val="20"/>
          <w:color w:val="auto"/>
        </w:rPr>
        <w:tab/>
      </w:r>
      <w:r>
        <w:rPr>
          <w:rFonts w:ascii="Times New Roman" w:cs="Times New Roman" w:eastAsia="Times New Roman" w:hAnsi="Times New Roman"/>
          <w:sz w:val="21"/>
          <w:szCs w:val="21"/>
          <w:b w:val="1"/>
          <w:bCs w:val="1"/>
          <w:color w:val="auto"/>
        </w:rPr>
        <w:t>Page 6 of 10 Pages</w:t>
      </w:r>
    </w:p>
    <w:p>
      <w:pPr>
        <w:sectPr>
          <w:pgSz w:w="11900" w:h="16838" w:orient="portrait"/>
          <w:cols w:equalWidth="0" w:num="1">
            <w:col w:w="11240"/>
          </w:cols>
          <w:pgMar w:left="320" w:top="459" w:right="3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1(a).</w:t>
      </w:r>
      <w:r>
        <w:rPr>
          <w:sz w:val="20"/>
          <w:szCs w:val="20"/>
          <w:color w:val="auto"/>
        </w:rPr>
        <w:tab/>
      </w:r>
      <w:r>
        <w:rPr>
          <w:rFonts w:ascii="Times New Roman" w:cs="Times New Roman" w:eastAsia="Times New Roman" w:hAnsi="Times New Roman"/>
          <w:sz w:val="19"/>
          <w:szCs w:val="19"/>
          <w:b w:val="1"/>
          <w:bCs w:val="1"/>
          <w:color w:val="auto"/>
        </w:rPr>
        <w:t>NAME OF ISSUER.</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The name of the issuer is CM Life Sciences, Inc. (the "</w:t>
      </w:r>
      <w:r>
        <w:rPr>
          <w:rFonts w:ascii="Times New Roman" w:cs="Times New Roman" w:eastAsia="Times New Roman" w:hAnsi="Times New Roman"/>
          <w:sz w:val="20"/>
          <w:szCs w:val="20"/>
          <w:u w:val="single" w:color="auto"/>
          <w:color w:val="auto"/>
        </w:rPr>
        <w:t>Issuer</w:t>
      </w:r>
      <w:r>
        <w:rPr>
          <w:rFonts w:ascii="Times New Roman" w:cs="Times New Roman" w:eastAsia="Times New Roman" w:hAnsi="Times New Roman"/>
          <w:sz w:val="20"/>
          <w:szCs w:val="20"/>
          <w:color w:val="auto"/>
        </w:rPr>
        <w:t>").</w:t>
      </w:r>
    </w:p>
    <w:p>
      <w:pPr>
        <w:spacing w:after="0" w:line="212"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1(b).</w:t>
      </w:r>
      <w:r>
        <w:rPr>
          <w:sz w:val="20"/>
          <w:szCs w:val="20"/>
          <w:color w:val="auto"/>
        </w:rPr>
        <w:tab/>
      </w:r>
      <w:r>
        <w:rPr>
          <w:rFonts w:ascii="Times New Roman" w:cs="Times New Roman" w:eastAsia="Times New Roman" w:hAnsi="Times New Roman"/>
          <w:sz w:val="19"/>
          <w:szCs w:val="19"/>
          <w:b w:val="1"/>
          <w:bCs w:val="1"/>
          <w:color w:val="auto"/>
        </w:rPr>
        <w:t>ADDRESS OF ISSUER'S PRINCIPAL EXECUTIVE OFFICES:</w:t>
      </w:r>
    </w:p>
    <w:p>
      <w:pPr>
        <w:spacing w:after="0" w:line="233" w:lineRule="exact"/>
        <w:rPr>
          <w:sz w:val="20"/>
          <w:szCs w:val="20"/>
          <w:color w:val="auto"/>
        </w:rPr>
      </w:pPr>
    </w:p>
    <w:p>
      <w:pPr>
        <w:ind w:left="1800" w:right="2960"/>
        <w:spacing w:after="0" w:line="269" w:lineRule="auto"/>
        <w:rPr>
          <w:sz w:val="20"/>
          <w:szCs w:val="20"/>
          <w:color w:val="auto"/>
        </w:rPr>
      </w:pPr>
      <w:r>
        <w:rPr>
          <w:rFonts w:ascii="Times New Roman" w:cs="Times New Roman" w:eastAsia="Times New Roman" w:hAnsi="Times New Roman"/>
          <w:sz w:val="20"/>
          <w:szCs w:val="20"/>
          <w:color w:val="auto"/>
        </w:rPr>
        <w:t>The Issuer's principal executive offices are located at c/o Corvex Management LP 667 Madison Avenue, New York, New York 10065.</w:t>
      </w:r>
    </w:p>
    <w:p>
      <w:pPr>
        <w:spacing w:after="0" w:line="155"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2(a).</w:t>
      </w:r>
      <w:r>
        <w:rPr>
          <w:sz w:val="20"/>
          <w:szCs w:val="20"/>
          <w:color w:val="auto"/>
        </w:rPr>
        <w:tab/>
      </w:r>
      <w:r>
        <w:rPr>
          <w:rFonts w:ascii="Times New Roman" w:cs="Times New Roman" w:eastAsia="Times New Roman" w:hAnsi="Times New Roman"/>
          <w:sz w:val="19"/>
          <w:szCs w:val="19"/>
          <w:b w:val="1"/>
          <w:bCs w:val="1"/>
          <w:color w:val="auto"/>
        </w:rPr>
        <w:t>NAME OF PERSON FILING:</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This statement is filed by:</w:t>
      </w:r>
    </w:p>
    <w:p>
      <w:pPr>
        <w:spacing w:after="0" w:line="229" w:lineRule="exact"/>
        <w:rPr>
          <w:sz w:val="20"/>
          <w:szCs w:val="20"/>
          <w:color w:val="auto"/>
        </w:rPr>
      </w:pPr>
    </w:p>
    <w:p>
      <w:pPr>
        <w:ind w:left="2600" w:hanging="801"/>
        <w:spacing w:after="0"/>
        <w:tabs>
          <w:tab w:leader="none" w:pos="26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Sachem Head Capital Management LP, a Delaware limited partnership ("</w:t>
      </w:r>
      <w:r>
        <w:rPr>
          <w:rFonts w:ascii="Times New Roman" w:cs="Times New Roman" w:eastAsia="Times New Roman" w:hAnsi="Times New Roman"/>
          <w:sz w:val="20"/>
          <w:szCs w:val="20"/>
          <w:u w:val="single" w:color="auto"/>
          <w:color w:val="auto"/>
        </w:rPr>
        <w:t>Sachem Head</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2600" w:hanging="801"/>
        <w:spacing w:after="0"/>
        <w:tabs>
          <w:tab w:leader="none" w:pos="26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Uncas GP LLC, a Delaware limited liability company ("</w:t>
      </w:r>
      <w:r>
        <w:rPr>
          <w:rFonts w:ascii="Times New Roman" w:cs="Times New Roman" w:eastAsia="Times New Roman" w:hAnsi="Times New Roman"/>
          <w:sz w:val="20"/>
          <w:szCs w:val="20"/>
          <w:u w:val="single" w:color="auto"/>
          <w:color w:val="auto"/>
        </w:rPr>
        <w:t>SH Management</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2600" w:hanging="801"/>
        <w:spacing w:after="0"/>
        <w:tabs>
          <w:tab w:leader="none" w:pos="26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Sachem Head GP LLC, a Delaware limited liability company ("</w:t>
      </w:r>
      <w:r>
        <w:rPr>
          <w:rFonts w:ascii="Times New Roman" w:cs="Times New Roman" w:eastAsia="Times New Roman" w:hAnsi="Times New Roman"/>
          <w:sz w:val="20"/>
          <w:szCs w:val="20"/>
          <w:u w:val="single" w:color="auto"/>
          <w:color w:val="auto"/>
        </w:rPr>
        <w:t>Sachem Head GP</w:t>
      </w:r>
      <w:r>
        <w:rPr>
          <w:rFonts w:ascii="Times New Roman" w:cs="Times New Roman" w:eastAsia="Times New Roman" w:hAnsi="Times New Roman"/>
          <w:sz w:val="20"/>
          <w:szCs w:val="20"/>
          <w:color w:val="auto"/>
        </w:rPr>
        <w:t>"); and</w:t>
      </w:r>
    </w:p>
    <w:p>
      <w:pPr>
        <w:spacing w:after="0" w:line="229" w:lineRule="exact"/>
        <w:rPr>
          <w:sz w:val="20"/>
          <w:szCs w:val="20"/>
          <w:color w:val="auto"/>
        </w:rPr>
      </w:pPr>
    </w:p>
    <w:p>
      <w:pPr>
        <w:ind w:left="2600" w:hanging="801"/>
        <w:spacing w:after="0"/>
        <w:tabs>
          <w:tab w:leader="none" w:pos="26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Scott D. Ferguson, a citizen of the United States of America ("</w:t>
      </w:r>
      <w:r>
        <w:rPr>
          <w:rFonts w:ascii="Times New Roman" w:cs="Times New Roman" w:eastAsia="Times New Roman" w:hAnsi="Times New Roman"/>
          <w:sz w:val="20"/>
          <w:szCs w:val="20"/>
          <w:u w:val="single" w:color="auto"/>
          <w:color w:val="auto"/>
        </w:rPr>
        <w:t>Mr. Ferguson</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The foregoing persons are hereinafter sometimes collectively referred to as the "</w:t>
      </w:r>
      <w:r>
        <w:rPr>
          <w:rFonts w:ascii="Times New Roman" w:cs="Times New Roman" w:eastAsia="Times New Roman" w:hAnsi="Times New Roman"/>
          <w:sz w:val="20"/>
          <w:szCs w:val="20"/>
          <w:u w:val="single" w:color="auto"/>
          <w:color w:val="auto"/>
        </w:rPr>
        <w:t>Reporting Persons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800" w:right="140"/>
        <w:spacing w:after="0" w:line="246" w:lineRule="auto"/>
        <w:rPr>
          <w:sz w:val="20"/>
          <w:szCs w:val="20"/>
          <w:color w:val="auto"/>
        </w:rPr>
      </w:pPr>
      <w:r>
        <w:rPr>
          <w:rFonts w:ascii="Times New Roman" w:cs="Times New Roman" w:eastAsia="Times New Roman" w:hAnsi="Times New Roman"/>
          <w:sz w:val="20"/>
          <w:szCs w:val="20"/>
          <w:color w:val="auto"/>
        </w:rPr>
        <w:t>Sachem Head serves as investment advisor to certain affiliated funds, including Sachem Head LP, a Delaware limited partnership ("</w:t>
      </w:r>
      <w:r>
        <w:rPr>
          <w:rFonts w:ascii="Times New Roman" w:cs="Times New Roman" w:eastAsia="Times New Roman" w:hAnsi="Times New Roman"/>
          <w:sz w:val="20"/>
          <w:szCs w:val="20"/>
          <w:u w:val="single" w:color="auto"/>
          <w:color w:val="auto"/>
        </w:rPr>
        <w:t>SH</w:t>
      </w:r>
      <w:r>
        <w:rPr>
          <w:rFonts w:ascii="Times New Roman" w:cs="Times New Roman" w:eastAsia="Times New Roman" w:hAnsi="Times New Roman"/>
          <w:sz w:val="20"/>
          <w:szCs w:val="20"/>
          <w:color w:val="auto"/>
        </w:rPr>
        <w:t>") and Sachem Head Master LP, an exempted limited partnership organized under the laws of the Cayman Islands ("</w:t>
      </w:r>
      <w:r>
        <w:rPr>
          <w:rFonts w:ascii="Times New Roman" w:cs="Times New Roman" w:eastAsia="Times New Roman" w:hAnsi="Times New Roman"/>
          <w:sz w:val="20"/>
          <w:szCs w:val="20"/>
          <w:u w:val="single" w:color="auto"/>
          <w:color w:val="auto"/>
        </w:rPr>
        <w:t>SHM</w:t>
      </w:r>
      <w:r>
        <w:rPr>
          <w:rFonts w:ascii="Times New Roman" w:cs="Times New Roman" w:eastAsia="Times New Roman" w:hAnsi="Times New Roman"/>
          <w:sz w:val="20"/>
          <w:szCs w:val="20"/>
          <w:color w:val="auto"/>
        </w:rPr>
        <w:t>"), and as such may be deemed to have the shared power to vote or direct the vote of (and the shared power to dispose or direct the disposition of) all of the shares of Common Stock (as defined in Item 2(d) below) held by SH and SHM.</w:t>
      </w:r>
    </w:p>
    <w:p>
      <w:pPr>
        <w:spacing w:after="0" w:line="198" w:lineRule="exact"/>
        <w:rPr>
          <w:sz w:val="20"/>
          <w:szCs w:val="20"/>
          <w:color w:val="auto"/>
        </w:rPr>
      </w:pPr>
    </w:p>
    <w:p>
      <w:pPr>
        <w:ind w:left="1800" w:right="180"/>
        <w:spacing w:after="0" w:line="243" w:lineRule="auto"/>
        <w:rPr>
          <w:sz w:val="20"/>
          <w:szCs w:val="20"/>
          <w:color w:val="auto"/>
        </w:rPr>
      </w:pPr>
      <w:r>
        <w:rPr>
          <w:rFonts w:ascii="Times New Roman" w:cs="Times New Roman" w:eastAsia="Times New Roman" w:hAnsi="Times New Roman"/>
          <w:sz w:val="20"/>
          <w:szCs w:val="20"/>
          <w:color w:val="auto"/>
        </w:rPr>
        <w:t>SH Management serves as the sole general partner of Sachem Head, and as such may be deemed to have the shared power to vote or direct the vote of (and the shared power to dispose or direct the disposition of) all of the shares of Common Stock reported herein. Sachem Head GP serves as the general partner of certain affiliated funds, including SH and SHM, and as such may be deemed to have the shared power to vote or direct the vote of (and the shared power to dispose or direct the disposition of) all of the shares of Common Stock held by SH and SHM. Mr. Ferguson serves as the managing partner of Sachem Head and the managing member of SH Management and Sachem Head GP, and as such may be deemed to have the shared power to vote or direct the vote of (and the shared power to dispose or direct the disposition of) all of the shares of Common Stock reported herein.</w:t>
      </w:r>
    </w:p>
    <w:p>
      <w:pPr>
        <w:spacing w:after="0" w:line="203" w:lineRule="exact"/>
        <w:rPr>
          <w:sz w:val="20"/>
          <w:szCs w:val="20"/>
          <w:color w:val="auto"/>
        </w:rPr>
      </w:pPr>
    </w:p>
    <w:p>
      <w:pPr>
        <w:ind w:left="1800" w:right="560"/>
        <w:spacing w:after="0" w:line="269" w:lineRule="auto"/>
        <w:rPr>
          <w:sz w:val="20"/>
          <w:szCs w:val="20"/>
          <w:color w:val="auto"/>
        </w:rPr>
      </w:pPr>
      <w:r>
        <w:rPr>
          <w:rFonts w:ascii="Times New Roman" w:cs="Times New Roman" w:eastAsia="Times New Roman" w:hAnsi="Times New Roman"/>
          <w:sz w:val="20"/>
          <w:szCs w:val="20"/>
          <w:color w:val="auto"/>
        </w:rPr>
        <w:t>The filing of this statement should not be construed as an admission that any of the Reporting Persons is, for the purposes of Section 13 of the Act, the beneficial owner of the Common Stock reported herein.</w:t>
      </w:r>
    </w:p>
    <w:p>
      <w:pPr>
        <w:sectPr>
          <w:pgSz w:w="11900" w:h="16838" w:orient="portrait"/>
          <w:cols w:equalWidth="0" w:num="1">
            <w:col w:w="11240"/>
          </w:cols>
          <w:pgMar w:left="320" w:top="459" w:right="339" w:bottom="1440" w:gutter="0" w:footer="0" w:header="0"/>
          <w:type w:val="continuous"/>
        </w:sectPr>
      </w:pPr>
    </w:p>
    <w:bookmarkStart w:id="6" w:name="page7"/>
    <w:bookmarkEnd w:id="6"/>
    <w:p>
      <w:pPr>
        <w:spacing w:after="0"/>
        <w:tabs>
          <w:tab w:leader="none" w:pos="5420" w:val="left"/>
          <w:tab w:leader="none" w:pos="9520" w:val="left"/>
        </w:tabs>
        <w:rPr>
          <w:sz w:val="20"/>
          <w:szCs w:val="20"/>
          <w:color w:val="auto"/>
        </w:rPr>
      </w:pPr>
      <w:r>
        <w:rPr>
          <w:rFonts w:ascii="Times New Roman" w:cs="Times New Roman" w:eastAsia="Times New Roman" w:hAnsi="Times New Roman"/>
          <w:sz w:val="22"/>
          <w:szCs w:val="22"/>
          <w:b w:val="1"/>
          <w:bCs w:val="1"/>
          <w:color w:val="auto"/>
        </w:rPr>
        <w:t>CUSIP No. 18978W208</w:t>
      </w:r>
      <w:r>
        <w:rPr>
          <w:sz w:val="20"/>
          <w:szCs w:val="20"/>
          <w:color w:val="auto"/>
        </w:rPr>
        <w:tab/>
      </w:r>
      <w:r>
        <w:rPr>
          <w:rFonts w:ascii="Times New Roman" w:cs="Times New Roman" w:eastAsia="Times New Roman" w:hAnsi="Times New Roman"/>
          <w:sz w:val="22"/>
          <w:szCs w:val="22"/>
          <w:b w:val="1"/>
          <w:bCs w:val="1"/>
          <w:color w:val="auto"/>
        </w:rPr>
        <w:t>13G</w:t>
      </w:r>
      <w:r>
        <w:rPr>
          <w:sz w:val="20"/>
          <w:szCs w:val="20"/>
          <w:color w:val="auto"/>
        </w:rPr>
        <w:tab/>
      </w:r>
      <w:r>
        <w:rPr>
          <w:rFonts w:ascii="Times New Roman" w:cs="Times New Roman" w:eastAsia="Times New Roman" w:hAnsi="Times New Roman"/>
          <w:sz w:val="21"/>
          <w:szCs w:val="21"/>
          <w:b w:val="1"/>
          <w:bCs w:val="1"/>
          <w:color w:val="auto"/>
        </w:rPr>
        <w:t>Page 7 of 10 Pages</w:t>
      </w:r>
    </w:p>
    <w:p>
      <w:pPr>
        <w:sectPr>
          <w:pgSz w:w="11900" w:h="16838" w:orient="portrait"/>
          <w:cols w:equalWidth="0" w:num="1">
            <w:col w:w="11240"/>
          </w:cols>
          <w:pgMar w:left="320" w:top="459" w:right="339" w:bottom="1440" w:gutter="0" w:footer="0" w:header="0"/>
        </w:sectPr>
      </w:pPr>
    </w:p>
    <w:p>
      <w:pPr>
        <w:spacing w:after="0" w:line="238"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2(b).</w:t>
      </w:r>
      <w:r>
        <w:rPr>
          <w:sz w:val="20"/>
          <w:szCs w:val="20"/>
          <w:color w:val="auto"/>
        </w:rPr>
        <w:tab/>
      </w:r>
      <w:r>
        <w:rPr>
          <w:rFonts w:ascii="Times New Roman" w:cs="Times New Roman" w:eastAsia="Times New Roman" w:hAnsi="Times New Roman"/>
          <w:sz w:val="19"/>
          <w:szCs w:val="19"/>
          <w:b w:val="1"/>
          <w:bCs w:val="1"/>
          <w:color w:val="auto"/>
        </w:rPr>
        <w:t>ADDRESS OF PRINCIPAL BUSINESS OFFICE OR, IF NONE, RESIDENCE:</w:t>
      </w:r>
    </w:p>
    <w:p>
      <w:pPr>
        <w:spacing w:after="0" w:line="233" w:lineRule="exact"/>
        <w:rPr>
          <w:sz w:val="20"/>
          <w:szCs w:val="20"/>
          <w:color w:val="auto"/>
        </w:rPr>
      </w:pPr>
    </w:p>
    <w:p>
      <w:pPr>
        <w:ind w:left="1780" w:right="380"/>
        <w:spacing w:after="0" w:line="269" w:lineRule="auto"/>
        <w:rPr>
          <w:sz w:val="20"/>
          <w:szCs w:val="20"/>
          <w:color w:val="auto"/>
        </w:rPr>
      </w:pPr>
      <w:r>
        <w:rPr>
          <w:rFonts w:ascii="Times New Roman" w:cs="Times New Roman" w:eastAsia="Times New Roman" w:hAnsi="Times New Roman"/>
          <w:sz w:val="20"/>
          <w:szCs w:val="20"/>
          <w:color w:val="auto"/>
        </w:rPr>
        <w:t>The address of the business office of each of the Reporting Persons is 250 West 55th Street, 34th Floor, New York, New York 10019.</w:t>
      </w:r>
    </w:p>
    <w:p>
      <w:pPr>
        <w:spacing w:after="0" w:line="169"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2(c).</w:t>
      </w:r>
      <w:r>
        <w:rPr>
          <w:sz w:val="20"/>
          <w:szCs w:val="20"/>
          <w:color w:val="auto"/>
        </w:rPr>
        <w:tab/>
      </w:r>
      <w:r>
        <w:rPr>
          <w:rFonts w:ascii="Times New Roman" w:cs="Times New Roman" w:eastAsia="Times New Roman" w:hAnsi="Times New Roman"/>
          <w:sz w:val="19"/>
          <w:szCs w:val="19"/>
          <w:b w:val="1"/>
          <w:bCs w:val="1"/>
          <w:color w:val="auto"/>
        </w:rPr>
        <w:t>CITIZENSHIP:</w:t>
      </w:r>
    </w:p>
    <w:p>
      <w:pPr>
        <w:spacing w:after="0" w:line="233" w:lineRule="exact"/>
        <w:rPr>
          <w:sz w:val="20"/>
          <w:szCs w:val="20"/>
          <w:color w:val="auto"/>
        </w:rPr>
      </w:pPr>
    </w:p>
    <w:p>
      <w:pPr>
        <w:ind w:left="1800" w:right="680"/>
        <w:spacing w:after="0" w:line="269" w:lineRule="auto"/>
        <w:rPr>
          <w:sz w:val="20"/>
          <w:szCs w:val="20"/>
          <w:color w:val="auto"/>
        </w:rPr>
      </w:pPr>
      <w:r>
        <w:rPr>
          <w:rFonts w:ascii="Times New Roman" w:cs="Times New Roman" w:eastAsia="Times New Roman" w:hAnsi="Times New Roman"/>
          <w:sz w:val="20"/>
          <w:szCs w:val="20"/>
          <w:color w:val="auto"/>
        </w:rPr>
        <w:t>Sachem Head is a Delaware limited partnership. Each of SH Management and Sachem Head GP is a Delaware limited liability company. Mr. Ferguson is a citizen of the United States.</w:t>
      </w:r>
    </w:p>
    <w:p>
      <w:pPr>
        <w:spacing w:after="0" w:line="155"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2(d).</w:t>
      </w:r>
      <w:r>
        <w:rPr>
          <w:sz w:val="20"/>
          <w:szCs w:val="20"/>
          <w:color w:val="auto"/>
        </w:rPr>
        <w:tab/>
      </w:r>
      <w:r>
        <w:rPr>
          <w:rFonts w:ascii="Times New Roman" w:cs="Times New Roman" w:eastAsia="Times New Roman" w:hAnsi="Times New Roman"/>
          <w:sz w:val="19"/>
          <w:szCs w:val="19"/>
          <w:b w:val="1"/>
          <w:bCs w:val="1"/>
          <w:color w:val="auto"/>
        </w:rPr>
        <w:t>TITLE OF CLASS OF SECURITIES:</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Class A Common Stock, par value $0.0001 per share (the "</w:t>
      </w:r>
      <w:r>
        <w:rPr>
          <w:rFonts w:ascii="Times New Roman" w:cs="Times New Roman" w:eastAsia="Times New Roman" w:hAnsi="Times New Roman"/>
          <w:sz w:val="20"/>
          <w:szCs w:val="20"/>
          <w:u w:val="single" w:color="auto"/>
          <w:color w:val="auto"/>
        </w:rPr>
        <w:t>Common Stock</w:t>
      </w:r>
      <w:r>
        <w:rPr>
          <w:rFonts w:ascii="Times New Roman" w:cs="Times New Roman" w:eastAsia="Times New Roman" w:hAnsi="Times New Roman"/>
          <w:sz w:val="20"/>
          <w:szCs w:val="20"/>
          <w:color w:val="auto"/>
        </w:rPr>
        <w:t>").</w:t>
      </w:r>
    </w:p>
    <w:p>
      <w:pPr>
        <w:spacing w:after="0" w:line="22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b w:val="1"/>
          <w:bCs w:val="1"/>
          <w:color w:val="auto"/>
        </w:rPr>
        <w:t>CUSIP NUMBER:</w:t>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Item 2(e).</w:t>
      </w:r>
    </w:p>
    <w:p>
      <w:pPr>
        <w:spacing w:after="0" w:line="207" w:lineRule="exact"/>
        <w:rPr>
          <w:sz w:val="20"/>
          <w:szCs w:val="20"/>
          <w:color w:val="auto"/>
        </w:rPr>
      </w:pPr>
    </w:p>
    <w:p>
      <w:pPr>
        <w:ind w:left="1800" w:right="120"/>
        <w:spacing w:after="0" w:line="269" w:lineRule="auto"/>
        <w:rPr>
          <w:sz w:val="20"/>
          <w:szCs w:val="20"/>
          <w:color w:val="auto"/>
        </w:rPr>
      </w:pPr>
      <w:r>
        <w:rPr>
          <w:rFonts w:ascii="Times New Roman" w:cs="Times New Roman" w:eastAsia="Times New Roman" w:hAnsi="Times New Roman"/>
          <w:sz w:val="20"/>
          <w:szCs w:val="20"/>
          <w:color w:val="auto"/>
        </w:rPr>
        <w:t>As of the date of this Schedule 13G, a CUSIP number for the Common Stock is not available. The CUSIP number for the Issuer’s units is 18978W208.</w:t>
      </w:r>
    </w:p>
    <w:p>
      <w:pPr>
        <w:spacing w:after="0" w:line="169" w:lineRule="exact"/>
        <w:rPr>
          <w:sz w:val="20"/>
          <w:szCs w:val="20"/>
          <w:color w:val="auto"/>
        </w:rPr>
      </w:pPr>
    </w:p>
    <w:p>
      <w:pPr>
        <w:ind w:left="1800" w:right="120" w:hanging="1686"/>
        <w:spacing w:after="0" w:line="273" w:lineRule="auto"/>
        <w:tabs>
          <w:tab w:leader="none" w:pos="178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20"/>
          <w:szCs w:val="20"/>
          <w:b w:val="1"/>
          <w:bCs w:val="1"/>
          <w:color w:val="auto"/>
        </w:rPr>
        <w:t>IF THIS STATEMENT IS FILED PURSUANT TO §§ 240.13d-1(b) OR 240.13d-2(b) OR (c), CHECK WHETHER THE PERSON FILING IS A:</w:t>
      </w:r>
    </w:p>
    <w:p>
      <w:pPr>
        <w:spacing w:after="0" w:line="151" w:lineRule="exact"/>
        <w:rPr>
          <w:sz w:val="20"/>
          <w:szCs w:val="20"/>
          <w:color w:val="auto"/>
        </w:rPr>
      </w:pPr>
    </w:p>
    <w:p>
      <w:pPr>
        <w:ind w:left="2620" w:hanging="821"/>
        <w:spacing w:after="0" w:line="230" w:lineRule="exact"/>
        <w:tabs>
          <w:tab w:leader="none" w:pos="2620" w:val="left"/>
        </w:tabs>
        <w:numPr>
          <w:ilvl w:val="0"/>
          <w:numId w:val="10"/>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Broker or dealer registered under Section 15 of the Act (15 U.S.C. 78o);</w:t>
      </w:r>
    </w:p>
    <w:p>
      <w:pPr>
        <w:spacing w:after="0" w:line="215" w:lineRule="exact"/>
        <w:rPr>
          <w:rFonts w:ascii="Times New Roman" w:cs="Times New Roman" w:eastAsia="Times New Roman" w:hAnsi="Times New Roman"/>
          <w:sz w:val="20"/>
          <w:szCs w:val="20"/>
          <w:color w:val="auto"/>
        </w:rPr>
      </w:pPr>
    </w:p>
    <w:p>
      <w:pPr>
        <w:ind w:left="2620" w:hanging="821"/>
        <w:spacing w:after="0" w:line="230" w:lineRule="exact"/>
        <w:tabs>
          <w:tab w:leader="none" w:pos="2620" w:val="left"/>
        </w:tabs>
        <w:numPr>
          <w:ilvl w:val="0"/>
          <w:numId w:val="10"/>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Bank as defined in Section 3(a)(6) of the Act (15 U.S.C. 78c);</w:t>
      </w:r>
    </w:p>
    <w:p>
      <w:pPr>
        <w:spacing w:after="0" w:line="215" w:lineRule="exact"/>
        <w:rPr>
          <w:rFonts w:ascii="Times New Roman" w:cs="Times New Roman" w:eastAsia="Times New Roman" w:hAnsi="Times New Roman"/>
          <w:sz w:val="20"/>
          <w:szCs w:val="20"/>
          <w:color w:val="auto"/>
        </w:rPr>
      </w:pPr>
    </w:p>
    <w:p>
      <w:pPr>
        <w:ind w:left="2620" w:hanging="821"/>
        <w:spacing w:after="0" w:line="230" w:lineRule="exact"/>
        <w:tabs>
          <w:tab w:leader="none" w:pos="2620" w:val="left"/>
        </w:tabs>
        <w:numPr>
          <w:ilvl w:val="0"/>
          <w:numId w:val="10"/>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Insurance company as defined in Section 3(a)(19) of the Act (15 U.S.C. 78c);</w:t>
      </w:r>
    </w:p>
    <w:p>
      <w:pPr>
        <w:spacing w:after="0" w:line="215" w:lineRule="exact"/>
        <w:rPr>
          <w:rFonts w:ascii="Times New Roman" w:cs="Times New Roman" w:eastAsia="Times New Roman" w:hAnsi="Times New Roman"/>
          <w:sz w:val="20"/>
          <w:szCs w:val="20"/>
          <w:color w:val="auto"/>
        </w:rPr>
      </w:pPr>
    </w:p>
    <w:p>
      <w:pPr>
        <w:ind w:left="3140" w:right="180" w:hanging="1341"/>
        <w:spacing w:after="0" w:line="253" w:lineRule="exact"/>
        <w:tabs>
          <w:tab w:leader="none" w:pos="2611" w:val="left"/>
        </w:tabs>
        <w:numPr>
          <w:ilvl w:val="0"/>
          <w:numId w:val="10"/>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Investment company registered under Section 8 of the Investment Company Act of 1940 (15 U.S.C. 80a-8);</w:t>
      </w:r>
    </w:p>
    <w:p>
      <w:pPr>
        <w:spacing w:after="0" w:line="170" w:lineRule="exact"/>
        <w:rPr>
          <w:rFonts w:ascii="Times New Roman" w:cs="Times New Roman" w:eastAsia="Times New Roman" w:hAnsi="Times New Roman"/>
          <w:sz w:val="20"/>
          <w:szCs w:val="20"/>
          <w:color w:val="auto"/>
        </w:rPr>
      </w:pPr>
    </w:p>
    <w:p>
      <w:pPr>
        <w:ind w:left="2620" w:hanging="821"/>
        <w:spacing w:after="0" w:line="230" w:lineRule="exact"/>
        <w:tabs>
          <w:tab w:leader="none" w:pos="2620" w:val="left"/>
        </w:tabs>
        <w:numPr>
          <w:ilvl w:val="0"/>
          <w:numId w:val="10"/>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Investment adviser in accordance with Rule 13d-1(b)(1)(ii)(E);</w:t>
      </w:r>
    </w:p>
    <w:p>
      <w:pPr>
        <w:spacing w:after="0" w:line="215" w:lineRule="exact"/>
        <w:rPr>
          <w:rFonts w:ascii="Times New Roman" w:cs="Times New Roman" w:eastAsia="Times New Roman" w:hAnsi="Times New Roman"/>
          <w:sz w:val="20"/>
          <w:szCs w:val="20"/>
          <w:color w:val="auto"/>
        </w:rPr>
      </w:pPr>
    </w:p>
    <w:p>
      <w:pPr>
        <w:ind w:left="2620" w:hanging="821"/>
        <w:spacing w:after="0" w:line="230" w:lineRule="exact"/>
        <w:tabs>
          <w:tab w:leader="none" w:pos="2620" w:val="left"/>
        </w:tabs>
        <w:numPr>
          <w:ilvl w:val="0"/>
          <w:numId w:val="10"/>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19"/>
          <w:szCs w:val="19"/>
          <w:color w:val="auto"/>
        </w:rPr>
        <w:t>Employee benefit plan or endowment fund in accordance with</w:t>
      </w:r>
    </w:p>
    <w:p>
      <w:pPr>
        <w:spacing w:after="0" w:line="3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color w:val="auto"/>
        </w:rPr>
        <w:t>Rule 13d-1(b)(1)(ii)(F);</w:t>
      </w:r>
    </w:p>
    <w:p>
      <w:pPr>
        <w:spacing w:after="0" w:line="189" w:lineRule="exact"/>
        <w:rPr>
          <w:sz w:val="20"/>
          <w:szCs w:val="20"/>
          <w:color w:val="auto"/>
        </w:rPr>
      </w:pPr>
    </w:p>
    <w:p>
      <w:pPr>
        <w:ind w:left="3200" w:right="3160" w:hanging="1401"/>
        <w:spacing w:after="0" w:line="244" w:lineRule="exact"/>
        <w:tabs>
          <w:tab w:leader="none" w:pos="2628" w:val="left"/>
        </w:tabs>
        <w:numPr>
          <w:ilvl w:val="0"/>
          <w:numId w:val="11"/>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Parent holding company or control person in accordance with Rule 13d-1(b)(1)(ii)(G);</w:t>
      </w:r>
    </w:p>
    <w:p>
      <w:pPr>
        <w:spacing w:after="0" w:line="188" w:lineRule="exact"/>
        <w:rPr>
          <w:rFonts w:ascii="Times New Roman" w:cs="Times New Roman" w:eastAsia="Times New Roman" w:hAnsi="Times New Roman"/>
          <w:sz w:val="20"/>
          <w:szCs w:val="20"/>
          <w:color w:val="auto"/>
        </w:rPr>
      </w:pPr>
    </w:p>
    <w:p>
      <w:pPr>
        <w:ind w:left="3140" w:right="600" w:hanging="1341"/>
        <w:spacing w:after="0" w:line="253" w:lineRule="exact"/>
        <w:tabs>
          <w:tab w:leader="none" w:pos="2611" w:val="left"/>
        </w:tabs>
        <w:numPr>
          <w:ilvl w:val="0"/>
          <w:numId w:val="11"/>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Savings association as defined in Section 3(b) of the Federal Deposit Insurance Act (12 U.S.C. 1813);</w:t>
      </w:r>
    </w:p>
    <w:p>
      <w:pPr>
        <w:spacing w:after="0" w:line="184" w:lineRule="exact"/>
        <w:rPr>
          <w:rFonts w:ascii="Times New Roman" w:cs="Times New Roman" w:eastAsia="Times New Roman" w:hAnsi="Times New Roman"/>
          <w:sz w:val="20"/>
          <w:szCs w:val="20"/>
          <w:color w:val="auto"/>
        </w:rPr>
      </w:pPr>
    </w:p>
    <w:p>
      <w:pPr>
        <w:ind w:left="3140" w:right="300" w:hanging="1341"/>
        <w:spacing w:after="0" w:line="253" w:lineRule="exact"/>
        <w:tabs>
          <w:tab w:leader="none" w:pos="2611" w:val="left"/>
        </w:tabs>
        <w:numPr>
          <w:ilvl w:val="0"/>
          <w:numId w:val="11"/>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Church plan that is excluded from the definition of an investment company under Section 3(c)(14) of the Investment Company Act (15 U.S.C. 80a-3);</w:t>
      </w:r>
    </w:p>
    <w:p>
      <w:pPr>
        <w:spacing w:after="0" w:line="197" w:lineRule="exact"/>
        <w:rPr>
          <w:rFonts w:ascii="Times New Roman" w:cs="Times New Roman" w:eastAsia="Times New Roman" w:hAnsi="Times New Roman"/>
          <w:sz w:val="20"/>
          <w:szCs w:val="20"/>
          <w:color w:val="auto"/>
        </w:rPr>
      </w:pPr>
    </w:p>
    <w:p>
      <w:pPr>
        <w:ind w:left="2620" w:hanging="821"/>
        <w:spacing w:after="0" w:line="230" w:lineRule="exact"/>
        <w:tabs>
          <w:tab w:leader="none" w:pos="2620" w:val="left"/>
        </w:tabs>
        <w:numPr>
          <w:ilvl w:val="0"/>
          <w:numId w:val="11"/>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Non-U.S. institution in accordance with Rule 13d-1(b)(1)(ii)(J);</w:t>
      </w:r>
    </w:p>
    <w:p>
      <w:pPr>
        <w:sectPr>
          <w:pgSz w:w="11900" w:h="16838" w:orient="portrait"/>
          <w:cols w:equalWidth="0" w:num="1">
            <w:col w:w="11240"/>
          </w:cols>
          <w:pgMar w:left="320" w:top="459" w:right="339" w:bottom="1440" w:gutter="0" w:footer="0" w:header="0"/>
          <w:type w:val="continuous"/>
        </w:sectPr>
      </w:pPr>
    </w:p>
    <w:bookmarkStart w:id="7" w:name="page8"/>
    <w:bookmarkEnd w:id="7"/>
    <w:p>
      <w:pPr>
        <w:spacing w:after="0"/>
        <w:tabs>
          <w:tab w:leader="none" w:pos="5420" w:val="left"/>
          <w:tab w:leader="none" w:pos="9520" w:val="left"/>
        </w:tabs>
        <w:rPr>
          <w:sz w:val="20"/>
          <w:szCs w:val="20"/>
          <w:color w:val="auto"/>
        </w:rPr>
      </w:pPr>
      <w:r>
        <w:rPr>
          <w:rFonts w:ascii="Times New Roman" w:cs="Times New Roman" w:eastAsia="Times New Roman" w:hAnsi="Times New Roman"/>
          <w:sz w:val="22"/>
          <w:szCs w:val="22"/>
          <w:b w:val="1"/>
          <w:bCs w:val="1"/>
          <w:color w:val="auto"/>
        </w:rPr>
        <w:t>CUSIP No. 18978W208</w:t>
      </w:r>
      <w:r>
        <w:rPr>
          <w:sz w:val="20"/>
          <w:szCs w:val="20"/>
          <w:color w:val="auto"/>
        </w:rPr>
        <w:tab/>
      </w:r>
      <w:r>
        <w:rPr>
          <w:rFonts w:ascii="Times New Roman" w:cs="Times New Roman" w:eastAsia="Times New Roman" w:hAnsi="Times New Roman"/>
          <w:sz w:val="22"/>
          <w:szCs w:val="22"/>
          <w:b w:val="1"/>
          <w:bCs w:val="1"/>
          <w:color w:val="auto"/>
        </w:rPr>
        <w:t>13G</w:t>
      </w:r>
      <w:r>
        <w:rPr>
          <w:sz w:val="20"/>
          <w:szCs w:val="20"/>
          <w:color w:val="auto"/>
        </w:rPr>
        <w:tab/>
      </w:r>
      <w:r>
        <w:rPr>
          <w:rFonts w:ascii="Times New Roman" w:cs="Times New Roman" w:eastAsia="Times New Roman" w:hAnsi="Times New Roman"/>
          <w:sz w:val="21"/>
          <w:szCs w:val="21"/>
          <w:b w:val="1"/>
          <w:bCs w:val="1"/>
          <w:color w:val="auto"/>
        </w:rPr>
        <w:t>Page 8 of 10 Pages</w:t>
      </w:r>
    </w:p>
    <w:p>
      <w:pPr>
        <w:sectPr>
          <w:pgSz w:w="11900" w:h="16838" w:orient="portrait"/>
          <w:cols w:equalWidth="0" w:num="1">
            <w:col w:w="11240"/>
          </w:cols>
          <w:pgMar w:left="320" w:top="459" w:right="339" w:bottom="1440" w:gutter="0" w:footer="0" w:header="0"/>
        </w:sectPr>
      </w:pPr>
    </w:p>
    <w:p>
      <w:pPr>
        <w:spacing w:after="0" w:line="318" w:lineRule="exact"/>
        <w:rPr>
          <w:sz w:val="20"/>
          <w:szCs w:val="20"/>
          <w:color w:val="auto"/>
        </w:rPr>
      </w:pPr>
    </w:p>
    <w:tbl>
      <w:tblPr>
        <w:tblLayout w:type="fixed"/>
        <w:tblInd w:w="120" w:type="dxa"/>
        <w:tblCellMar>
          <w:top w:w="0" w:type="dxa"/>
          <w:left w:w="0" w:type="dxa"/>
          <w:bottom w:w="0" w:type="dxa"/>
          <w:right w:w="0" w:type="dxa"/>
        </w:tblCellMar>
      </w:tblPr>
      <w:tr>
        <w:trPr>
          <w:trHeight w:val="310"/>
        </w:trPr>
        <w:tc>
          <w:tcPr>
            <w:tcW w:w="1180" w:type="dxa"/>
            <w:vAlign w:val="bottom"/>
          </w:tcPr>
          <w:p>
            <w:pPr>
              <w:spacing w:after="0"/>
              <w:rPr>
                <w:sz w:val="24"/>
                <w:szCs w:val="24"/>
                <w:color w:val="auto"/>
              </w:rPr>
            </w:pPr>
          </w:p>
        </w:tc>
        <w:tc>
          <w:tcPr>
            <w:tcW w:w="102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(k)</w:t>
            </w:r>
          </w:p>
        </w:tc>
        <w:tc>
          <w:tcPr>
            <w:tcW w:w="8820" w:type="dxa"/>
            <w:vAlign w:val="bottom"/>
          </w:tcPr>
          <w:p>
            <w:pPr>
              <w:ind w:left="300"/>
              <w:spacing w:after="0" w:line="230" w:lineRule="exact"/>
              <w:rPr>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Group, in accordance with Rule 13d-1(b)(1)(ii)(K).</w:t>
            </w:r>
          </w:p>
        </w:tc>
      </w:tr>
      <w:tr>
        <w:trPr>
          <w:trHeight w:val="397"/>
        </w:trPr>
        <w:tc>
          <w:tcPr>
            <w:tcW w:w="1180" w:type="dxa"/>
            <w:vAlign w:val="bottom"/>
          </w:tcPr>
          <w:p>
            <w:pPr>
              <w:spacing w:after="0"/>
              <w:rPr>
                <w:sz w:val="24"/>
                <w:szCs w:val="24"/>
                <w:color w:val="auto"/>
              </w:rPr>
            </w:pPr>
          </w:p>
        </w:tc>
        <w:tc>
          <w:tcPr>
            <w:tcW w:w="9840" w:type="dxa"/>
            <w:vAlign w:val="bottom"/>
            <w:gridSpan w:val="2"/>
          </w:tcPr>
          <w:p>
            <w:pPr>
              <w:ind w:left="500"/>
              <w:spacing w:after="0"/>
              <w:rPr>
                <w:sz w:val="20"/>
                <w:szCs w:val="20"/>
                <w:color w:val="auto"/>
              </w:rPr>
            </w:pPr>
            <w:r>
              <w:rPr>
                <w:rFonts w:ascii="Times New Roman" w:cs="Times New Roman" w:eastAsia="Times New Roman" w:hAnsi="Times New Roman"/>
                <w:sz w:val="20"/>
                <w:szCs w:val="20"/>
                <w:color w:val="auto"/>
              </w:rPr>
              <w:t>If filing as a non-U.S. institution in accordance with Rule 13d-1(b)(1)(ii)(J), please</w:t>
            </w:r>
          </w:p>
        </w:tc>
      </w:tr>
      <w:tr>
        <w:trPr>
          <w:trHeight w:val="258"/>
        </w:trPr>
        <w:tc>
          <w:tcPr>
            <w:tcW w:w="1180" w:type="dxa"/>
            <w:vAlign w:val="bottom"/>
          </w:tcPr>
          <w:p>
            <w:pPr>
              <w:spacing w:after="0"/>
              <w:rPr>
                <w:sz w:val="22"/>
                <w:szCs w:val="22"/>
                <w:color w:val="auto"/>
              </w:rPr>
            </w:pPr>
          </w:p>
        </w:tc>
        <w:tc>
          <w:tcPr>
            <w:tcW w:w="9840" w:type="dxa"/>
            <w:vAlign w:val="bottom"/>
            <w:gridSpan w:val="2"/>
          </w:tcPr>
          <w:p>
            <w:pPr>
              <w:ind w:left="500"/>
              <w:spacing w:after="0"/>
              <w:rPr>
                <w:sz w:val="20"/>
                <w:szCs w:val="20"/>
                <w:color w:val="auto"/>
              </w:rPr>
            </w:pPr>
            <w:r>
              <w:rPr>
                <w:rFonts w:ascii="Times New Roman" w:cs="Times New Roman" w:eastAsia="Times New Roman" w:hAnsi="Times New Roman"/>
                <w:sz w:val="20"/>
                <w:szCs w:val="20"/>
                <w:color w:val="auto"/>
              </w:rPr>
              <w:t>specify the type of institution:____________________________________________</w:t>
            </w:r>
          </w:p>
        </w:tc>
      </w:tr>
      <w:tr>
        <w:trPr>
          <w:trHeight w:val="459"/>
        </w:trPr>
        <w:tc>
          <w:tcPr>
            <w:tcW w:w="1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4.</w:t>
            </w:r>
          </w:p>
        </w:tc>
        <w:tc>
          <w:tcPr>
            <w:tcW w:w="9840" w:type="dxa"/>
            <w:vAlign w:val="bottom"/>
            <w:gridSpan w:val="2"/>
          </w:tcPr>
          <w:p>
            <w:pPr>
              <w:ind w:left="500"/>
              <w:spacing w:after="0"/>
              <w:rPr>
                <w:sz w:val="20"/>
                <w:szCs w:val="20"/>
                <w:color w:val="auto"/>
              </w:rPr>
            </w:pPr>
            <w:r>
              <w:rPr>
                <w:rFonts w:ascii="Times New Roman" w:cs="Times New Roman" w:eastAsia="Times New Roman" w:hAnsi="Times New Roman"/>
                <w:sz w:val="20"/>
                <w:szCs w:val="20"/>
                <w:b w:val="1"/>
                <w:bCs w:val="1"/>
                <w:color w:val="auto"/>
              </w:rPr>
              <w:t>OWNERSHIP</w:t>
            </w:r>
            <w:r>
              <w:rPr>
                <w:rFonts w:ascii="Times New Roman" w:cs="Times New Roman" w:eastAsia="Times New Roman" w:hAnsi="Times New Roman"/>
                <w:sz w:val="20"/>
                <w:szCs w:val="20"/>
                <w:color w:val="auto"/>
              </w:rPr>
              <w:t>.</w:t>
            </w:r>
          </w:p>
        </w:tc>
      </w:tr>
      <w:tr>
        <w:trPr>
          <w:trHeight w:val="430"/>
        </w:trPr>
        <w:tc>
          <w:tcPr>
            <w:tcW w:w="1180" w:type="dxa"/>
            <w:vAlign w:val="bottom"/>
          </w:tcPr>
          <w:p>
            <w:pPr>
              <w:spacing w:after="0"/>
              <w:rPr>
                <w:sz w:val="24"/>
                <w:szCs w:val="24"/>
                <w:color w:val="auto"/>
              </w:rPr>
            </w:pPr>
          </w:p>
        </w:tc>
        <w:tc>
          <w:tcPr>
            <w:tcW w:w="9840" w:type="dxa"/>
            <w:vAlign w:val="bottom"/>
            <w:gridSpan w:val="2"/>
          </w:tcPr>
          <w:p>
            <w:pPr>
              <w:ind w:left="500"/>
              <w:spacing w:after="0"/>
              <w:rPr>
                <w:sz w:val="20"/>
                <w:szCs w:val="20"/>
                <w:color w:val="auto"/>
              </w:rPr>
            </w:pPr>
            <w:r>
              <w:rPr>
                <w:rFonts w:ascii="Times New Roman" w:cs="Times New Roman" w:eastAsia="Times New Roman" w:hAnsi="Times New Roman"/>
                <w:sz w:val="20"/>
                <w:szCs w:val="20"/>
                <w:color w:val="auto"/>
              </w:rPr>
              <w:t>The information required by Items 4(a) – (c) is set forth in Rows (5) – (11) of the cover page for each Reporting</w:t>
            </w:r>
          </w:p>
        </w:tc>
      </w:tr>
      <w:tr>
        <w:trPr>
          <w:trHeight w:val="229"/>
        </w:trPr>
        <w:tc>
          <w:tcPr>
            <w:tcW w:w="1180" w:type="dxa"/>
            <w:vAlign w:val="bottom"/>
          </w:tcPr>
          <w:p>
            <w:pPr>
              <w:spacing w:after="0"/>
              <w:rPr>
                <w:sz w:val="19"/>
                <w:szCs w:val="19"/>
                <w:color w:val="auto"/>
              </w:rPr>
            </w:pPr>
          </w:p>
        </w:tc>
        <w:tc>
          <w:tcPr>
            <w:tcW w:w="9840" w:type="dxa"/>
            <w:vAlign w:val="bottom"/>
            <w:gridSpan w:val="2"/>
          </w:tcPr>
          <w:p>
            <w:pPr>
              <w:ind w:left="500"/>
              <w:spacing w:after="0"/>
              <w:rPr>
                <w:sz w:val="20"/>
                <w:szCs w:val="20"/>
                <w:color w:val="auto"/>
              </w:rPr>
            </w:pPr>
            <w:r>
              <w:rPr>
                <w:rFonts w:ascii="Times New Roman" w:cs="Times New Roman" w:eastAsia="Times New Roman" w:hAnsi="Times New Roman"/>
                <w:sz w:val="20"/>
                <w:szCs w:val="20"/>
                <w:color w:val="auto"/>
              </w:rPr>
              <w:t>Person hereto and is incorporated herein by reference for each such Reporting Person. The percentages used herein</w:t>
            </w:r>
          </w:p>
        </w:tc>
      </w:tr>
      <w:tr>
        <w:trPr>
          <w:trHeight w:val="230"/>
        </w:trPr>
        <w:tc>
          <w:tcPr>
            <w:tcW w:w="1180" w:type="dxa"/>
            <w:vAlign w:val="bottom"/>
          </w:tcPr>
          <w:p>
            <w:pPr>
              <w:spacing w:after="0"/>
              <w:rPr>
                <w:sz w:val="19"/>
                <w:szCs w:val="19"/>
                <w:color w:val="auto"/>
              </w:rPr>
            </w:pPr>
          </w:p>
        </w:tc>
        <w:tc>
          <w:tcPr>
            <w:tcW w:w="9840" w:type="dxa"/>
            <w:vAlign w:val="bottom"/>
            <w:gridSpan w:val="2"/>
          </w:tcPr>
          <w:p>
            <w:pPr>
              <w:ind w:left="500"/>
              <w:spacing w:after="0"/>
              <w:rPr>
                <w:sz w:val="20"/>
                <w:szCs w:val="20"/>
                <w:color w:val="auto"/>
              </w:rPr>
            </w:pPr>
            <w:r>
              <w:rPr>
                <w:rFonts w:ascii="Times New Roman" w:cs="Times New Roman" w:eastAsia="Times New Roman" w:hAnsi="Times New Roman"/>
                <w:sz w:val="20"/>
                <w:szCs w:val="20"/>
                <w:color w:val="auto"/>
              </w:rPr>
              <w:t>are calculated based upon 44,275,000 shares of Common Stock outstanding (as reported in the Issuer's Current</w:t>
            </w:r>
          </w:p>
        </w:tc>
      </w:tr>
      <w:tr>
        <w:trPr>
          <w:trHeight w:val="258"/>
        </w:trPr>
        <w:tc>
          <w:tcPr>
            <w:tcW w:w="1180" w:type="dxa"/>
            <w:vAlign w:val="bottom"/>
          </w:tcPr>
          <w:p>
            <w:pPr>
              <w:spacing w:after="0"/>
              <w:rPr>
                <w:sz w:val="22"/>
                <w:szCs w:val="22"/>
                <w:color w:val="auto"/>
              </w:rPr>
            </w:pPr>
          </w:p>
        </w:tc>
        <w:tc>
          <w:tcPr>
            <w:tcW w:w="9840" w:type="dxa"/>
            <w:vAlign w:val="bottom"/>
            <w:gridSpan w:val="2"/>
          </w:tcPr>
          <w:p>
            <w:pPr>
              <w:ind w:left="500"/>
              <w:spacing w:after="0"/>
              <w:rPr>
                <w:sz w:val="20"/>
                <w:szCs w:val="20"/>
                <w:color w:val="auto"/>
              </w:rPr>
            </w:pPr>
            <w:r>
              <w:rPr>
                <w:rFonts w:ascii="Times New Roman" w:cs="Times New Roman" w:eastAsia="Times New Roman" w:hAnsi="Times New Roman"/>
                <w:sz w:val="20"/>
                <w:szCs w:val="20"/>
                <w:color w:val="auto"/>
              </w:rPr>
              <w:t>Report on Form 8-K, filed with the Securities and Exchange Commission on September 4, 2020).</w:t>
            </w:r>
          </w:p>
        </w:tc>
      </w:tr>
      <w:tr>
        <w:trPr>
          <w:trHeight w:val="459"/>
        </w:trPr>
        <w:tc>
          <w:tcPr>
            <w:tcW w:w="1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5.</w:t>
            </w:r>
          </w:p>
        </w:tc>
        <w:tc>
          <w:tcPr>
            <w:tcW w:w="9840" w:type="dxa"/>
            <w:vAlign w:val="bottom"/>
            <w:gridSpan w:val="2"/>
          </w:tcPr>
          <w:p>
            <w:pPr>
              <w:ind w:left="500"/>
              <w:spacing w:after="0"/>
              <w:rPr>
                <w:sz w:val="20"/>
                <w:szCs w:val="20"/>
                <w:color w:val="auto"/>
              </w:rPr>
            </w:pPr>
            <w:r>
              <w:rPr>
                <w:rFonts w:ascii="Times New Roman" w:cs="Times New Roman" w:eastAsia="Times New Roman" w:hAnsi="Times New Roman"/>
                <w:sz w:val="20"/>
                <w:szCs w:val="20"/>
                <w:b w:val="1"/>
                <w:bCs w:val="1"/>
                <w:color w:val="auto"/>
              </w:rPr>
              <w:t>OWNERSHIP OF FIVE PERCENT OR LESS OF A CLASS.</w:t>
            </w:r>
          </w:p>
        </w:tc>
      </w:tr>
      <w:tr>
        <w:trPr>
          <w:trHeight w:val="430"/>
        </w:trPr>
        <w:tc>
          <w:tcPr>
            <w:tcW w:w="1180" w:type="dxa"/>
            <w:vAlign w:val="bottom"/>
          </w:tcPr>
          <w:p>
            <w:pPr>
              <w:spacing w:after="0"/>
              <w:rPr>
                <w:sz w:val="24"/>
                <w:szCs w:val="24"/>
                <w:color w:val="auto"/>
              </w:rPr>
            </w:pPr>
          </w:p>
        </w:tc>
        <w:tc>
          <w:tcPr>
            <w:tcW w:w="9840" w:type="dxa"/>
            <w:vAlign w:val="bottom"/>
            <w:gridSpan w:val="2"/>
          </w:tcPr>
          <w:p>
            <w:pPr>
              <w:ind w:left="500"/>
              <w:spacing w:after="0"/>
              <w:rPr>
                <w:sz w:val="20"/>
                <w:szCs w:val="20"/>
                <w:color w:val="auto"/>
              </w:rPr>
            </w:pPr>
            <w:r>
              <w:rPr>
                <w:rFonts w:ascii="Times New Roman" w:cs="Times New Roman" w:eastAsia="Times New Roman" w:hAnsi="Times New Roman"/>
                <w:sz w:val="20"/>
                <w:szCs w:val="20"/>
                <w:color w:val="auto"/>
              </w:rPr>
              <w:t>If this statement is being filed to report the fact that as of the date hereof the reporting person has ceased to be the</w:t>
            </w:r>
          </w:p>
        </w:tc>
      </w:tr>
      <w:tr>
        <w:trPr>
          <w:trHeight w:val="258"/>
        </w:trPr>
        <w:tc>
          <w:tcPr>
            <w:tcW w:w="1180" w:type="dxa"/>
            <w:vAlign w:val="bottom"/>
          </w:tcPr>
          <w:p>
            <w:pPr>
              <w:spacing w:after="0"/>
              <w:rPr>
                <w:sz w:val="22"/>
                <w:szCs w:val="22"/>
                <w:color w:val="auto"/>
              </w:rPr>
            </w:pPr>
          </w:p>
        </w:tc>
        <w:tc>
          <w:tcPr>
            <w:tcW w:w="9840" w:type="dxa"/>
            <w:vAlign w:val="bottom"/>
            <w:gridSpan w:val="2"/>
          </w:tcPr>
          <w:p>
            <w:pPr>
              <w:ind w:left="500"/>
              <w:spacing w:after="0"/>
              <w:rPr>
                <w:sz w:val="20"/>
                <w:szCs w:val="20"/>
                <w:color w:val="auto"/>
              </w:rPr>
            </w:pPr>
            <w:r>
              <w:rPr>
                <w:rFonts w:ascii="Times New Roman" w:cs="Times New Roman" w:eastAsia="Times New Roman" w:hAnsi="Times New Roman"/>
                <w:sz w:val="20"/>
                <w:szCs w:val="20"/>
                <w:color w:val="auto"/>
              </w:rPr>
              <w:t>beneficial owner of more than five percent of the class of securities, check the following: [ ]</w:t>
            </w:r>
          </w:p>
        </w:tc>
      </w:tr>
      <w:tr>
        <w:trPr>
          <w:trHeight w:val="459"/>
        </w:trPr>
        <w:tc>
          <w:tcPr>
            <w:tcW w:w="1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6.</w:t>
            </w:r>
          </w:p>
        </w:tc>
        <w:tc>
          <w:tcPr>
            <w:tcW w:w="9840" w:type="dxa"/>
            <w:vAlign w:val="bottom"/>
            <w:gridSpan w:val="2"/>
          </w:tcPr>
          <w:p>
            <w:pPr>
              <w:ind w:left="500"/>
              <w:spacing w:after="0"/>
              <w:rPr>
                <w:sz w:val="20"/>
                <w:szCs w:val="20"/>
                <w:color w:val="auto"/>
              </w:rPr>
            </w:pPr>
            <w:r>
              <w:rPr>
                <w:rFonts w:ascii="Times New Roman" w:cs="Times New Roman" w:eastAsia="Times New Roman" w:hAnsi="Times New Roman"/>
                <w:sz w:val="20"/>
                <w:szCs w:val="20"/>
                <w:b w:val="1"/>
                <w:bCs w:val="1"/>
                <w:color w:val="auto"/>
              </w:rPr>
              <w:t>OWNERSHIP OF MORE THAN FIVE PERCENT ON BEHALF OF ANOTHER PERSON.</w:t>
            </w:r>
          </w:p>
        </w:tc>
      </w:tr>
      <w:tr>
        <w:trPr>
          <w:trHeight w:val="459"/>
        </w:trPr>
        <w:tc>
          <w:tcPr>
            <w:tcW w:w="1180" w:type="dxa"/>
            <w:vAlign w:val="bottom"/>
          </w:tcPr>
          <w:p>
            <w:pPr>
              <w:spacing w:after="0"/>
              <w:rPr>
                <w:sz w:val="24"/>
                <w:szCs w:val="24"/>
                <w:color w:val="auto"/>
              </w:rPr>
            </w:pPr>
          </w:p>
        </w:tc>
        <w:tc>
          <w:tcPr>
            <w:tcW w:w="9840" w:type="dxa"/>
            <w:vAlign w:val="bottom"/>
            <w:gridSpan w:val="2"/>
          </w:tcPr>
          <w:p>
            <w:pPr>
              <w:ind w:left="500"/>
              <w:spacing w:after="0"/>
              <w:rPr>
                <w:sz w:val="20"/>
                <w:szCs w:val="20"/>
                <w:color w:val="auto"/>
              </w:rPr>
            </w:pPr>
            <w:r>
              <w:rPr>
                <w:rFonts w:ascii="Times New Roman" w:cs="Times New Roman" w:eastAsia="Times New Roman" w:hAnsi="Times New Roman"/>
                <w:sz w:val="20"/>
                <w:szCs w:val="20"/>
                <w:color w:val="auto"/>
              </w:rPr>
              <w:t>See Item 2.</w:t>
            </w:r>
          </w:p>
        </w:tc>
      </w:tr>
      <w:tr>
        <w:trPr>
          <w:trHeight w:val="426"/>
        </w:trPr>
        <w:tc>
          <w:tcPr>
            <w:tcW w:w="1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7.</w:t>
            </w:r>
          </w:p>
        </w:tc>
        <w:tc>
          <w:tcPr>
            <w:tcW w:w="9840" w:type="dxa"/>
            <w:vAlign w:val="bottom"/>
            <w:gridSpan w:val="2"/>
          </w:tcPr>
          <w:p>
            <w:pPr>
              <w:ind w:left="500"/>
              <w:spacing w:after="0"/>
              <w:rPr>
                <w:sz w:val="20"/>
                <w:szCs w:val="20"/>
                <w:color w:val="auto"/>
              </w:rPr>
            </w:pPr>
            <w:r>
              <w:rPr>
                <w:rFonts w:ascii="Times New Roman" w:cs="Times New Roman" w:eastAsia="Times New Roman" w:hAnsi="Times New Roman"/>
                <w:sz w:val="20"/>
                <w:szCs w:val="20"/>
                <w:b w:val="1"/>
                <w:bCs w:val="1"/>
                <w:color w:val="auto"/>
              </w:rPr>
              <w:t>IDENTIFICATION  AND  CLASSIFICATION  OF  THE  SUBSIDIARY  WHICH  ACQUIRED  THE</w:t>
            </w:r>
          </w:p>
        </w:tc>
      </w:tr>
      <w:tr>
        <w:trPr>
          <w:trHeight w:val="262"/>
        </w:trPr>
        <w:tc>
          <w:tcPr>
            <w:tcW w:w="1180" w:type="dxa"/>
            <w:vAlign w:val="bottom"/>
          </w:tcPr>
          <w:p>
            <w:pPr>
              <w:spacing w:after="0"/>
              <w:rPr>
                <w:sz w:val="22"/>
                <w:szCs w:val="22"/>
                <w:color w:val="auto"/>
              </w:rPr>
            </w:pPr>
          </w:p>
        </w:tc>
        <w:tc>
          <w:tcPr>
            <w:tcW w:w="9840" w:type="dxa"/>
            <w:vAlign w:val="bottom"/>
            <w:gridSpan w:val="2"/>
          </w:tcPr>
          <w:p>
            <w:pPr>
              <w:ind w:left="500"/>
              <w:spacing w:after="0"/>
              <w:rPr>
                <w:sz w:val="20"/>
                <w:szCs w:val="20"/>
                <w:color w:val="auto"/>
              </w:rPr>
            </w:pPr>
            <w:r>
              <w:rPr>
                <w:rFonts w:ascii="Times New Roman" w:cs="Times New Roman" w:eastAsia="Times New Roman" w:hAnsi="Times New Roman"/>
                <w:sz w:val="20"/>
                <w:szCs w:val="20"/>
                <w:b w:val="1"/>
                <w:bCs w:val="1"/>
                <w:color w:val="auto"/>
              </w:rPr>
              <w:t>SECURITY BEING REPORTED ON BY THE PARENT HOLDING COMPANY.</w:t>
            </w:r>
          </w:p>
        </w:tc>
      </w:tr>
      <w:tr>
        <w:trPr>
          <w:trHeight w:val="459"/>
        </w:trPr>
        <w:tc>
          <w:tcPr>
            <w:tcW w:w="1180" w:type="dxa"/>
            <w:vAlign w:val="bottom"/>
          </w:tcPr>
          <w:p>
            <w:pPr>
              <w:spacing w:after="0"/>
              <w:rPr>
                <w:sz w:val="24"/>
                <w:szCs w:val="24"/>
                <w:color w:val="auto"/>
              </w:rPr>
            </w:pPr>
          </w:p>
        </w:tc>
        <w:tc>
          <w:tcPr>
            <w:tcW w:w="9840" w:type="dxa"/>
            <w:vAlign w:val="bottom"/>
            <w:gridSpan w:val="2"/>
          </w:tcPr>
          <w:p>
            <w:pPr>
              <w:ind w:left="500"/>
              <w:spacing w:after="0"/>
              <w:rPr>
                <w:sz w:val="20"/>
                <w:szCs w:val="20"/>
                <w:color w:val="auto"/>
              </w:rPr>
            </w:pPr>
            <w:r>
              <w:rPr>
                <w:rFonts w:ascii="Times New Roman" w:cs="Times New Roman" w:eastAsia="Times New Roman" w:hAnsi="Times New Roman"/>
                <w:sz w:val="20"/>
                <w:szCs w:val="20"/>
                <w:color w:val="auto"/>
              </w:rPr>
              <w:t>Not applicable.</w:t>
            </w:r>
          </w:p>
        </w:tc>
      </w:tr>
      <w:tr>
        <w:trPr>
          <w:trHeight w:val="459"/>
        </w:trPr>
        <w:tc>
          <w:tcPr>
            <w:tcW w:w="1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8.</w:t>
            </w:r>
          </w:p>
        </w:tc>
        <w:tc>
          <w:tcPr>
            <w:tcW w:w="9840" w:type="dxa"/>
            <w:vAlign w:val="bottom"/>
            <w:gridSpan w:val="2"/>
          </w:tcPr>
          <w:p>
            <w:pPr>
              <w:ind w:left="500"/>
              <w:spacing w:after="0"/>
              <w:rPr>
                <w:sz w:val="20"/>
                <w:szCs w:val="20"/>
                <w:color w:val="auto"/>
              </w:rPr>
            </w:pPr>
            <w:r>
              <w:rPr>
                <w:rFonts w:ascii="Times New Roman" w:cs="Times New Roman" w:eastAsia="Times New Roman" w:hAnsi="Times New Roman"/>
                <w:sz w:val="20"/>
                <w:szCs w:val="20"/>
                <w:b w:val="1"/>
                <w:bCs w:val="1"/>
                <w:color w:val="auto"/>
              </w:rPr>
              <w:t>IDENTIFICATION AND CLASSIFICATION OF MEMBERS OF THE GROUP.</w:t>
            </w:r>
          </w:p>
        </w:tc>
      </w:tr>
      <w:tr>
        <w:trPr>
          <w:trHeight w:val="459"/>
        </w:trPr>
        <w:tc>
          <w:tcPr>
            <w:tcW w:w="1180" w:type="dxa"/>
            <w:vAlign w:val="bottom"/>
          </w:tcPr>
          <w:p>
            <w:pPr>
              <w:spacing w:after="0"/>
              <w:rPr>
                <w:sz w:val="24"/>
                <w:szCs w:val="24"/>
                <w:color w:val="auto"/>
              </w:rPr>
            </w:pPr>
          </w:p>
        </w:tc>
        <w:tc>
          <w:tcPr>
            <w:tcW w:w="9840" w:type="dxa"/>
            <w:vAlign w:val="bottom"/>
            <w:gridSpan w:val="2"/>
          </w:tcPr>
          <w:p>
            <w:pPr>
              <w:ind w:left="500"/>
              <w:spacing w:after="0"/>
              <w:rPr>
                <w:sz w:val="20"/>
                <w:szCs w:val="20"/>
                <w:color w:val="auto"/>
              </w:rPr>
            </w:pPr>
            <w:r>
              <w:rPr>
                <w:rFonts w:ascii="Times New Roman" w:cs="Times New Roman" w:eastAsia="Times New Roman" w:hAnsi="Times New Roman"/>
                <w:sz w:val="20"/>
                <w:szCs w:val="20"/>
                <w:color w:val="auto"/>
              </w:rPr>
              <w:t>Not applicable.</w:t>
            </w:r>
          </w:p>
        </w:tc>
      </w:tr>
      <w:tr>
        <w:trPr>
          <w:trHeight w:val="459"/>
        </w:trPr>
        <w:tc>
          <w:tcPr>
            <w:tcW w:w="1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9.</w:t>
            </w:r>
          </w:p>
        </w:tc>
        <w:tc>
          <w:tcPr>
            <w:tcW w:w="9840" w:type="dxa"/>
            <w:vAlign w:val="bottom"/>
            <w:gridSpan w:val="2"/>
          </w:tcPr>
          <w:p>
            <w:pPr>
              <w:ind w:left="500"/>
              <w:spacing w:after="0"/>
              <w:rPr>
                <w:sz w:val="20"/>
                <w:szCs w:val="20"/>
                <w:color w:val="auto"/>
              </w:rPr>
            </w:pPr>
            <w:r>
              <w:rPr>
                <w:rFonts w:ascii="Times New Roman" w:cs="Times New Roman" w:eastAsia="Times New Roman" w:hAnsi="Times New Roman"/>
                <w:sz w:val="20"/>
                <w:szCs w:val="20"/>
                <w:b w:val="1"/>
                <w:bCs w:val="1"/>
                <w:color w:val="auto"/>
              </w:rPr>
              <w:t>NOTICE OF DISSOLUTION OF GROUP.</w:t>
            </w:r>
          </w:p>
        </w:tc>
      </w:tr>
      <w:tr>
        <w:trPr>
          <w:trHeight w:val="459"/>
        </w:trPr>
        <w:tc>
          <w:tcPr>
            <w:tcW w:w="1180" w:type="dxa"/>
            <w:vAlign w:val="bottom"/>
          </w:tcPr>
          <w:p>
            <w:pPr>
              <w:spacing w:after="0"/>
              <w:rPr>
                <w:sz w:val="24"/>
                <w:szCs w:val="24"/>
                <w:color w:val="auto"/>
              </w:rPr>
            </w:pPr>
          </w:p>
        </w:tc>
        <w:tc>
          <w:tcPr>
            <w:tcW w:w="9840" w:type="dxa"/>
            <w:vAlign w:val="bottom"/>
            <w:gridSpan w:val="2"/>
          </w:tcPr>
          <w:p>
            <w:pPr>
              <w:ind w:left="500"/>
              <w:spacing w:after="0"/>
              <w:rPr>
                <w:sz w:val="20"/>
                <w:szCs w:val="20"/>
                <w:color w:val="auto"/>
              </w:rPr>
            </w:pPr>
            <w:r>
              <w:rPr>
                <w:rFonts w:ascii="Times New Roman" w:cs="Times New Roman" w:eastAsia="Times New Roman" w:hAnsi="Times New Roman"/>
                <w:sz w:val="20"/>
                <w:szCs w:val="20"/>
                <w:color w:val="auto"/>
              </w:rPr>
              <w:t>Not applicable.</w:t>
            </w:r>
          </w:p>
        </w:tc>
      </w:tr>
      <w:tr>
        <w:trPr>
          <w:trHeight w:val="459"/>
        </w:trPr>
        <w:tc>
          <w:tcPr>
            <w:tcW w:w="1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10.</w:t>
            </w:r>
          </w:p>
        </w:tc>
        <w:tc>
          <w:tcPr>
            <w:tcW w:w="9840" w:type="dxa"/>
            <w:vAlign w:val="bottom"/>
            <w:gridSpan w:val="2"/>
          </w:tcPr>
          <w:p>
            <w:pPr>
              <w:ind w:left="500"/>
              <w:spacing w:after="0"/>
              <w:rPr>
                <w:sz w:val="20"/>
                <w:szCs w:val="20"/>
                <w:color w:val="auto"/>
              </w:rPr>
            </w:pPr>
            <w:r>
              <w:rPr>
                <w:rFonts w:ascii="Times New Roman" w:cs="Times New Roman" w:eastAsia="Times New Roman" w:hAnsi="Times New Roman"/>
                <w:sz w:val="20"/>
                <w:szCs w:val="20"/>
                <w:b w:val="1"/>
                <w:bCs w:val="1"/>
                <w:color w:val="auto"/>
              </w:rPr>
              <w:t>CERTIFICATION.</w:t>
            </w:r>
          </w:p>
        </w:tc>
      </w:tr>
      <w:tr>
        <w:trPr>
          <w:trHeight w:val="459"/>
        </w:trPr>
        <w:tc>
          <w:tcPr>
            <w:tcW w:w="1180" w:type="dxa"/>
            <w:vAlign w:val="bottom"/>
          </w:tcPr>
          <w:p>
            <w:pPr>
              <w:spacing w:after="0"/>
              <w:rPr>
                <w:sz w:val="24"/>
                <w:szCs w:val="24"/>
                <w:color w:val="auto"/>
              </w:rPr>
            </w:pPr>
          </w:p>
        </w:tc>
        <w:tc>
          <w:tcPr>
            <w:tcW w:w="9840" w:type="dxa"/>
            <w:vAlign w:val="bottom"/>
            <w:gridSpan w:val="2"/>
          </w:tcPr>
          <w:p>
            <w:pPr>
              <w:ind w:left="500"/>
              <w:spacing w:after="0"/>
              <w:rPr>
                <w:sz w:val="20"/>
                <w:szCs w:val="20"/>
                <w:color w:val="auto"/>
              </w:rPr>
            </w:pPr>
            <w:r>
              <w:rPr>
                <w:rFonts w:ascii="Times New Roman" w:cs="Times New Roman" w:eastAsia="Times New Roman" w:hAnsi="Times New Roman"/>
                <w:sz w:val="20"/>
                <w:szCs w:val="20"/>
                <w:color w:val="auto"/>
              </w:rPr>
              <w:t>Each of the Reporting Persons hereby makes the following certification:</w:t>
            </w:r>
          </w:p>
        </w:tc>
      </w:tr>
    </w:tbl>
    <w:p>
      <w:pPr>
        <w:spacing w:after="0" w:line="201" w:lineRule="exact"/>
        <w:rPr>
          <w:sz w:val="20"/>
          <w:szCs w:val="20"/>
          <w:color w:val="auto"/>
        </w:rPr>
      </w:pPr>
    </w:p>
    <w:p>
      <w:pPr>
        <w:ind w:left="1800" w:right="160"/>
        <w:spacing w:after="0" w:line="249" w:lineRule="auto"/>
        <w:rPr>
          <w:sz w:val="20"/>
          <w:szCs w:val="20"/>
          <w:color w:val="auto"/>
        </w:rPr>
      </w:pPr>
      <w:r>
        <w:rPr>
          <w:rFonts w:ascii="Times New Roman" w:cs="Times New Roman" w:eastAsia="Times New Roman" w:hAnsi="Times New Roman"/>
          <w:sz w:val="20"/>
          <w:szCs w:val="20"/>
          <w:color w:val="auto"/>
        </w:rPr>
        <w:t>By signing below, each Reporting Person certifies that, to the best of his or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459" w:right="339" w:bottom="1440" w:gutter="0" w:footer="0" w:header="0"/>
          <w:type w:val="continuous"/>
        </w:sectPr>
      </w:pPr>
    </w:p>
    <w:bookmarkStart w:id="8" w:name="page9"/>
    <w:bookmarkEnd w:id="8"/>
    <w:p>
      <w:pPr>
        <w:spacing w:after="0"/>
        <w:tabs>
          <w:tab w:leader="none" w:pos="5420" w:val="left"/>
          <w:tab w:leader="none" w:pos="9520" w:val="left"/>
        </w:tabs>
        <w:rPr>
          <w:sz w:val="20"/>
          <w:szCs w:val="20"/>
          <w:color w:val="auto"/>
        </w:rPr>
      </w:pPr>
      <w:r>
        <w:rPr>
          <w:rFonts w:ascii="Times New Roman" w:cs="Times New Roman" w:eastAsia="Times New Roman" w:hAnsi="Times New Roman"/>
          <w:sz w:val="22"/>
          <w:szCs w:val="22"/>
          <w:b w:val="1"/>
          <w:bCs w:val="1"/>
          <w:color w:val="auto"/>
        </w:rPr>
        <w:t>CUSIP No. 18978W208</w:t>
      </w:r>
      <w:r>
        <w:rPr>
          <w:sz w:val="20"/>
          <w:szCs w:val="20"/>
          <w:color w:val="auto"/>
        </w:rPr>
        <w:tab/>
      </w:r>
      <w:r>
        <w:rPr>
          <w:rFonts w:ascii="Times New Roman" w:cs="Times New Roman" w:eastAsia="Times New Roman" w:hAnsi="Times New Roman"/>
          <w:sz w:val="22"/>
          <w:szCs w:val="22"/>
          <w:b w:val="1"/>
          <w:bCs w:val="1"/>
          <w:color w:val="auto"/>
        </w:rPr>
        <w:t>13G</w:t>
      </w:r>
      <w:r>
        <w:rPr>
          <w:sz w:val="20"/>
          <w:szCs w:val="20"/>
          <w:color w:val="auto"/>
        </w:rPr>
        <w:tab/>
      </w:r>
      <w:r>
        <w:rPr>
          <w:rFonts w:ascii="Times New Roman" w:cs="Times New Roman" w:eastAsia="Times New Roman" w:hAnsi="Times New Roman"/>
          <w:sz w:val="21"/>
          <w:szCs w:val="21"/>
          <w:b w:val="1"/>
          <w:bCs w:val="1"/>
          <w:color w:val="auto"/>
        </w:rPr>
        <w:t>Page 9 of 10 Pages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2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our knowledge and belief, the undersigned certify that the information set forth in this statement is true, complete and correct.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September 11, 2020</w:t>
      </w:r>
    </w:p>
    <w:p>
      <w:pPr>
        <w:spacing w:after="0" w:line="22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0"/>
          <w:szCs w:val="20"/>
          <w:b w:val="1"/>
          <w:bCs w:val="1"/>
          <w:color w:val="auto"/>
        </w:rPr>
        <w:t>SACHEM HEAD CAPITAL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071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071880"/>
                    </a:xfrm>
                    <a:prstGeom prst="rect">
                      <a:avLst/>
                    </a:prstGeom>
                    <a:noFill/>
                  </pic:spPr>
                </pic:pic>
              </a:graphicData>
            </a:graphic>
          </wp:anchor>
        </w:drawing>
      </w:r>
    </w:p>
    <w:p>
      <w:pPr>
        <w:spacing w:after="0" w:line="24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0"/>
          <w:szCs w:val="20"/>
          <w:color w:val="auto"/>
        </w:rPr>
        <w:t>By: Uncas GP LLC, its General Partner</w:t>
      </w:r>
    </w:p>
    <w:p>
      <w:pPr>
        <w:spacing w:after="0" w:line="256" w:lineRule="exact"/>
        <w:rPr>
          <w:sz w:val="20"/>
          <w:szCs w:val="20"/>
          <w:color w:val="auto"/>
        </w:rPr>
      </w:pPr>
    </w:p>
    <w:p>
      <w:pPr>
        <w:ind w:left="6080"/>
        <w:spacing w:after="0"/>
        <w:tabs>
          <w:tab w:leader="none" w:pos="65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Scott D. Ferguson</w:t>
      </w:r>
    </w:p>
    <w:p>
      <w:pPr>
        <w:spacing w:after="0" w:line="28"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0"/>
          <w:szCs w:val="20"/>
          <w:color w:val="auto"/>
        </w:rPr>
        <w:t>Scott D. Ferguson</w:t>
      </w:r>
    </w:p>
    <w:p>
      <w:pPr>
        <w:spacing w:after="0" w:line="20"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0"/>
          <w:szCs w:val="20"/>
          <w:color w:val="auto"/>
        </w:rPr>
        <w:t>Managing Member</w:t>
      </w:r>
    </w:p>
    <w:p>
      <w:pPr>
        <w:spacing w:after="0" w:line="20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0"/>
          <w:szCs w:val="20"/>
          <w:b w:val="1"/>
          <w:bCs w:val="1"/>
          <w:color w:val="auto"/>
        </w:rPr>
        <w:t>UNCAS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7632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763270"/>
                    </a:xfrm>
                    <a:prstGeom prst="rect">
                      <a:avLst/>
                    </a:prstGeom>
                    <a:noFill/>
                  </pic:spPr>
                </pic:pic>
              </a:graphicData>
            </a:graphic>
          </wp:anchor>
        </w:drawing>
      </w:r>
    </w:p>
    <w:p>
      <w:pPr>
        <w:spacing w:after="0" w:line="240" w:lineRule="exact"/>
        <w:rPr>
          <w:sz w:val="20"/>
          <w:szCs w:val="20"/>
          <w:color w:val="auto"/>
        </w:rPr>
      </w:pPr>
    </w:p>
    <w:p>
      <w:pPr>
        <w:ind w:left="6080"/>
        <w:spacing w:after="0"/>
        <w:tabs>
          <w:tab w:leader="none" w:pos="65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Scott D. Ferguson</w:t>
      </w:r>
    </w:p>
    <w:p>
      <w:pPr>
        <w:spacing w:after="0" w:line="28"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0"/>
          <w:szCs w:val="20"/>
          <w:color w:val="auto"/>
        </w:rPr>
        <w:t>Scott D. Ferguson</w:t>
      </w:r>
    </w:p>
    <w:p>
      <w:pPr>
        <w:spacing w:after="0" w:line="20"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0"/>
          <w:szCs w:val="20"/>
          <w:color w:val="auto"/>
        </w:rPr>
        <w:t>Managing Member</w:t>
      </w:r>
    </w:p>
    <w:p>
      <w:pPr>
        <w:spacing w:after="0" w:line="20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0"/>
          <w:szCs w:val="20"/>
          <w:b w:val="1"/>
          <w:bCs w:val="1"/>
          <w:color w:val="auto"/>
        </w:rPr>
        <w:t>SACHEM HEAD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071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071880"/>
                    </a:xfrm>
                    <a:prstGeom prst="rect">
                      <a:avLst/>
                    </a:prstGeom>
                    <a:noFill/>
                  </pic:spPr>
                </pic:pic>
              </a:graphicData>
            </a:graphic>
          </wp:anchor>
        </w:drawing>
      </w:r>
    </w:p>
    <w:p>
      <w:pPr>
        <w:spacing w:after="0" w:line="240" w:lineRule="exact"/>
        <w:rPr>
          <w:sz w:val="20"/>
          <w:szCs w:val="20"/>
          <w:color w:val="auto"/>
        </w:rPr>
      </w:pPr>
    </w:p>
    <w:p>
      <w:pPr>
        <w:ind w:left="6080"/>
        <w:spacing w:after="0"/>
        <w:tabs>
          <w:tab w:leader="none" w:pos="65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Scott D. Ferguson</w:t>
      </w:r>
    </w:p>
    <w:p>
      <w:pPr>
        <w:spacing w:after="0" w:line="28"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0"/>
          <w:szCs w:val="20"/>
          <w:color w:val="auto"/>
        </w:rPr>
        <w:t>Scott D. Ferguson</w:t>
      </w:r>
    </w:p>
    <w:p>
      <w:pPr>
        <w:spacing w:after="0" w:line="20"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0"/>
          <w:szCs w:val="20"/>
          <w:color w:val="auto"/>
        </w:rPr>
        <w:t>Managing Member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080"/>
        <w:spacing w:after="0"/>
        <w:tabs>
          <w:tab w:leader="none" w:pos="65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Scott D. Ferguson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8"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0"/>
          <w:szCs w:val="20"/>
          <w:color w:val="auto"/>
        </w:rPr>
        <w:t>Scott D. Ferguson</w:t>
      </w:r>
    </w:p>
    <w:p>
      <w:pPr>
        <w:sectPr>
          <w:pgSz w:w="11900" w:h="16838" w:orient="portrait"/>
          <w:cols w:equalWidth="0" w:num="1">
            <w:col w:w="11240"/>
          </w:cols>
          <w:pgMar w:left="320" w:top="459" w:right="339" w:bottom="1440" w:gutter="0" w:footer="0" w:header="0"/>
        </w:sectPr>
      </w:pPr>
    </w:p>
    <w:bookmarkStart w:id="9" w:name="page10"/>
    <w:bookmarkEnd w:id="9"/>
    <w:p>
      <w:pPr>
        <w:spacing w:after="0"/>
        <w:tabs>
          <w:tab w:leader="none" w:pos="5420" w:val="left"/>
          <w:tab w:leader="none" w:pos="9420" w:val="left"/>
        </w:tabs>
        <w:rPr>
          <w:sz w:val="20"/>
          <w:szCs w:val="20"/>
          <w:color w:val="auto"/>
        </w:rPr>
      </w:pPr>
      <w:r>
        <w:rPr>
          <w:rFonts w:ascii="Times New Roman" w:cs="Times New Roman" w:eastAsia="Times New Roman" w:hAnsi="Times New Roman"/>
          <w:sz w:val="22"/>
          <w:szCs w:val="22"/>
          <w:b w:val="1"/>
          <w:bCs w:val="1"/>
          <w:color w:val="auto"/>
        </w:rPr>
        <w:t>CUSIP No. 18978W208</w:t>
      </w:r>
      <w:r>
        <w:rPr>
          <w:sz w:val="20"/>
          <w:szCs w:val="20"/>
          <w:color w:val="auto"/>
        </w:rPr>
        <w:tab/>
      </w:r>
      <w:r>
        <w:rPr>
          <w:rFonts w:ascii="Times New Roman" w:cs="Times New Roman" w:eastAsia="Times New Roman" w:hAnsi="Times New Roman"/>
          <w:sz w:val="22"/>
          <w:szCs w:val="22"/>
          <w:b w:val="1"/>
          <w:bCs w:val="1"/>
          <w:color w:val="auto"/>
        </w:rPr>
        <w:t>13G</w:t>
      </w:r>
      <w:r>
        <w:rPr>
          <w:sz w:val="20"/>
          <w:szCs w:val="20"/>
          <w:color w:val="auto"/>
        </w:rPr>
        <w:tab/>
      </w:r>
      <w:r>
        <w:rPr>
          <w:rFonts w:ascii="Times New Roman" w:cs="Times New Roman" w:eastAsia="Times New Roman" w:hAnsi="Times New Roman"/>
          <w:sz w:val="21"/>
          <w:szCs w:val="21"/>
          <w:b w:val="1"/>
          <w:bCs w:val="1"/>
          <w:color w:val="auto"/>
        </w:rPr>
        <w:t>Page 10 of 10 Pages</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JOINT ACQUISITION STATEMENT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RULE 13d-1(k)</w:t>
      </w:r>
    </w:p>
    <w:p>
      <w:pPr>
        <w:spacing w:after="0" w:line="19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September 11, 2020</w:t>
      </w:r>
    </w:p>
    <w:p>
      <w:pPr>
        <w:spacing w:after="0" w:line="200" w:lineRule="exact"/>
        <w:rPr>
          <w:sz w:val="20"/>
          <w:szCs w:val="20"/>
          <w:color w:val="auto"/>
        </w:rPr>
      </w:pPr>
    </w:p>
    <w:p>
      <w:pPr>
        <w:spacing w:after="0" w:line="25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0"/>
          <w:szCs w:val="20"/>
          <w:b w:val="1"/>
          <w:bCs w:val="1"/>
          <w:color w:val="auto"/>
        </w:rPr>
        <w:t>SACHEM HEAD CAPITAL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071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071880"/>
                    </a:xfrm>
                    <a:prstGeom prst="rect">
                      <a:avLst/>
                    </a:prstGeom>
                    <a:noFill/>
                  </pic:spPr>
                </pic:pic>
              </a:graphicData>
            </a:graphic>
          </wp:anchor>
        </w:drawing>
      </w:r>
    </w:p>
    <w:p>
      <w:pPr>
        <w:spacing w:after="0" w:line="24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0"/>
          <w:szCs w:val="20"/>
          <w:color w:val="auto"/>
        </w:rPr>
        <w:t>By: Uncas GP LLC, its General Partner</w:t>
      </w:r>
    </w:p>
    <w:p>
      <w:pPr>
        <w:spacing w:after="0" w:line="256" w:lineRule="exact"/>
        <w:rPr>
          <w:sz w:val="20"/>
          <w:szCs w:val="20"/>
          <w:color w:val="auto"/>
        </w:rPr>
      </w:pPr>
    </w:p>
    <w:p>
      <w:pPr>
        <w:ind w:left="6080"/>
        <w:spacing w:after="0"/>
        <w:tabs>
          <w:tab w:leader="none" w:pos="65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Scott D. Ferguson</w:t>
      </w:r>
    </w:p>
    <w:p>
      <w:pPr>
        <w:spacing w:after="0" w:line="28"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0"/>
          <w:szCs w:val="20"/>
          <w:color w:val="auto"/>
        </w:rPr>
        <w:t>Scott D. Ferguson</w:t>
      </w:r>
    </w:p>
    <w:p>
      <w:pPr>
        <w:spacing w:after="0" w:line="20"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0"/>
          <w:szCs w:val="20"/>
          <w:color w:val="auto"/>
        </w:rPr>
        <w:t>Managing Member</w:t>
      </w:r>
    </w:p>
    <w:p>
      <w:pPr>
        <w:spacing w:after="0" w:line="20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0"/>
          <w:szCs w:val="20"/>
          <w:b w:val="1"/>
          <w:bCs w:val="1"/>
          <w:color w:val="auto"/>
        </w:rPr>
        <w:t>UNCAS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7626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762635"/>
                    </a:xfrm>
                    <a:prstGeom prst="rect">
                      <a:avLst/>
                    </a:prstGeom>
                    <a:noFill/>
                  </pic:spPr>
                </pic:pic>
              </a:graphicData>
            </a:graphic>
          </wp:anchor>
        </w:drawing>
      </w:r>
    </w:p>
    <w:p>
      <w:pPr>
        <w:spacing w:after="0" w:line="240" w:lineRule="exact"/>
        <w:rPr>
          <w:sz w:val="20"/>
          <w:szCs w:val="20"/>
          <w:color w:val="auto"/>
        </w:rPr>
      </w:pPr>
    </w:p>
    <w:p>
      <w:pPr>
        <w:ind w:left="6080"/>
        <w:spacing w:after="0"/>
        <w:tabs>
          <w:tab w:leader="none" w:pos="65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Scott D. Ferguson</w:t>
      </w:r>
    </w:p>
    <w:p>
      <w:pPr>
        <w:spacing w:after="0" w:line="28"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0"/>
          <w:szCs w:val="20"/>
          <w:color w:val="auto"/>
        </w:rPr>
        <w:t>Scott D. Ferguson</w:t>
      </w:r>
    </w:p>
    <w:p>
      <w:pPr>
        <w:spacing w:after="0" w:line="20"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0"/>
          <w:szCs w:val="20"/>
          <w:color w:val="auto"/>
        </w:rPr>
        <w:t>Managing Member</w:t>
      </w:r>
    </w:p>
    <w:p>
      <w:pPr>
        <w:spacing w:after="0" w:line="20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0"/>
          <w:szCs w:val="20"/>
          <w:b w:val="1"/>
          <w:bCs w:val="1"/>
          <w:color w:val="auto"/>
        </w:rPr>
        <w:t>SACHEM HEAD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071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071880"/>
                    </a:xfrm>
                    <a:prstGeom prst="rect">
                      <a:avLst/>
                    </a:prstGeom>
                    <a:noFill/>
                  </pic:spPr>
                </pic:pic>
              </a:graphicData>
            </a:graphic>
          </wp:anchor>
        </w:drawing>
      </w:r>
    </w:p>
    <w:p>
      <w:pPr>
        <w:spacing w:after="0" w:line="240" w:lineRule="exact"/>
        <w:rPr>
          <w:sz w:val="20"/>
          <w:szCs w:val="20"/>
          <w:color w:val="auto"/>
        </w:rPr>
      </w:pPr>
    </w:p>
    <w:p>
      <w:pPr>
        <w:ind w:left="6080"/>
        <w:spacing w:after="0"/>
        <w:tabs>
          <w:tab w:leader="none" w:pos="65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Scott D. Ferguson</w:t>
      </w:r>
    </w:p>
    <w:p>
      <w:pPr>
        <w:spacing w:after="0" w:line="28"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0"/>
          <w:szCs w:val="20"/>
          <w:color w:val="auto"/>
        </w:rPr>
        <w:t>Scott D. Ferguson</w:t>
      </w:r>
    </w:p>
    <w:p>
      <w:pPr>
        <w:spacing w:after="0" w:line="20"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0"/>
          <w:szCs w:val="20"/>
          <w:color w:val="auto"/>
        </w:rPr>
        <w:t>Managing Member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080"/>
        <w:spacing w:after="0"/>
        <w:tabs>
          <w:tab w:leader="none" w:pos="65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Scott D. Ferguson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308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8"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0"/>
          <w:szCs w:val="20"/>
          <w:color w:val="auto"/>
        </w:rPr>
        <w:t>Scott D. Ferguson</w:t>
      </w:r>
    </w:p>
    <w:sectPr>
      <w:pgSz w:w="11900" w:h="16838" w:orient="portrait"/>
      <w:cols w:equalWidth="0" w:num="1">
        <w:col w:w="11240"/>
      </w:cols>
      <w:pgMar w:left="320" w:top="45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3"/>
      <w:numFmt w:val="bullet"/>
      <w:start w:val="1"/>
    </w:lvl>
  </w:abstractNum>
  <w:abstractNum w:abstractNumId="5">
    <w:nsid w:val="515F007C"/>
    <w:multiLevelType w:val="hybridMultilevel"/>
    <w:lvl w:ilvl="0">
      <w:lvlJc w:val="left"/>
      <w:lvlText w:val="3"/>
      <w:numFmt w:val="bullet"/>
      <w:start w:val="1"/>
    </w:lvl>
  </w:abstractNum>
  <w:abstractNum w:abstractNumId="6">
    <w:nsid w:val="5BD062C2"/>
    <w:multiLevelType w:val="hybridMultilevel"/>
    <w:lvl w:ilvl="0">
      <w:lvlJc w:val="left"/>
      <w:lvlText w:val="3"/>
      <w:numFmt w:val="bullet"/>
      <w:start w:val="1"/>
    </w:lvl>
  </w:abstractNum>
  <w:abstractNum w:abstractNumId="7">
    <w:nsid w:val="12200854"/>
    <w:multiLevelType w:val="hybridMultilevel"/>
    <w:lvl w:ilvl="0">
      <w:lvlJc w:val="left"/>
      <w:lvlText w:val="(%1)"/>
      <w:numFmt w:val="lowerRoman"/>
      <w:start w:val="1"/>
    </w:lvl>
  </w:abstractNum>
  <w:abstractNum w:abstractNumId="8">
    <w:nsid w:val="4DB127F8"/>
    <w:multiLevelType w:val="hybridMultilevel"/>
    <w:lvl w:ilvl="0">
      <w:lvlJc w:val="left"/>
      <w:lvlText w:val="(%1)"/>
      <w:numFmt w:val="lowerRoman"/>
      <w:start w:val="3"/>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2020-09-11T16:05:34Z</dcterms:created>
  <dcterms:modified xsi:type="dcterms:W3CDTF">2020-09-11T16:05:34Z</dcterms:modified>
</cp:coreProperties>
</file>