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8625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62520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Stueland Katherine</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GeneDx Holdings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WGS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20" w:type="dxa"/>
            <w:vAlign w:val="bottom"/>
            <w:tcBorders>
              <w:top w:val="single" w:sz="8" w:color="0000EE"/>
            </w:tcBorders>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2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8"/>
                <w:szCs w:val="18"/>
                <w:color w:val="auto"/>
              </w:rPr>
            </w:pPr>
          </w:p>
        </w:tc>
        <w:tc>
          <w:tcPr>
            <w:tcW w:w="2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12/16/2025</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497"/>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1" w:lineRule="exact"/>
        <w:rPr>
          <w:sz w:val="20"/>
          <w:szCs w:val="20"/>
          <w:color w:val="auto"/>
        </w:rPr>
      </w:pPr>
    </w:p>
    <w:p>
      <w:pPr>
        <w:sectPr>
          <w:pgSz w:w="11900" w:h="16838" w:orient="portrait"/>
          <w:cols w:equalWidth="0" w:num="2">
            <w:col w:w="7660" w:space="63"/>
            <w:col w:w="3357"/>
          </w:cols>
          <w:pgMar w:left="460" w:top="217" w:right="359" w:bottom="0" w:gutter="0" w:footer="0" w:header="0"/>
          <w:type w:val="continuous"/>
        </w:sectPr>
      </w:pPr>
    </w:p>
    <w:p>
      <w:pPr>
        <w:spacing w:after="0" w:line="206"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0"/>
          <w:szCs w:val="20"/>
          <w:color w:val="auto"/>
        </w:rPr>
      </w:pPr>
    </w:p>
    <w:p>
      <w:pPr>
        <w:sectPr>
          <w:pgSz w:w="11900" w:h="16838" w:orient="portrait"/>
          <w:cols w:equalWidth="0" w:num="2">
            <w:col w:w="3740" w:space="16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2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480"/>
              <w:spacing w:after="0" w:line="128"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20" w:type="dxa"/>
            <w:vAlign w:val="bottom"/>
            <w:gridSpan w:val="2"/>
          </w:tcPr>
          <w:p>
            <w:pPr>
              <w:jc w:val="center"/>
              <w:ind w:left="305"/>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5"/>
              <w:spacing w:after="0"/>
              <w:rPr>
                <w:sz w:val="20"/>
                <w:szCs w:val="20"/>
                <w:color w:val="auto"/>
              </w:rPr>
            </w:pPr>
            <w:r>
              <w:rPr>
                <w:rFonts w:ascii="Times New Roman" w:cs="Times New Roman" w:eastAsia="Times New Roman" w:hAnsi="Times New Roman"/>
                <w:sz w:val="17"/>
                <w:szCs w:val="17"/>
                <w:color w:val="0000FF"/>
                <w:w w:val="98"/>
              </w:rPr>
              <w:t>12/16/2025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13"/>
                <w:szCs w:val="13"/>
                <w:color w:val="0000FF"/>
              </w:rPr>
              <w:t>M</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18,750</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ind w:left="146"/>
              <w:spacing w:after="0" w:line="310"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25,094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5"/>
              <w:spacing w:after="0"/>
              <w:rPr>
                <w:sz w:val="20"/>
                <w:szCs w:val="20"/>
                <w:color w:val="auto"/>
              </w:rPr>
            </w:pPr>
            <w:r>
              <w:rPr>
                <w:rFonts w:ascii="Times New Roman" w:cs="Times New Roman" w:eastAsia="Times New Roman" w:hAnsi="Times New Roman"/>
                <w:sz w:val="17"/>
                <w:szCs w:val="17"/>
                <w:color w:val="0000FF"/>
                <w:w w:val="98"/>
              </w:rPr>
              <w:t>12/16/2025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369</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2"/>
          </w:tcPr>
          <w:p>
            <w:pPr>
              <w:jc w:val="center"/>
              <w:ind w:left="86"/>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138.93</w:t>
            </w:r>
            <w:r>
              <w:rPr>
                <w:rFonts w:ascii="Times New Roman" w:cs="Times New Roman" w:eastAsia="Times New Roman" w:hAnsi="Times New Roman"/>
                <w:sz w:val="21"/>
                <w:szCs w:val="21"/>
                <w:color w:val="008000"/>
                <w:w w:val="93"/>
                <w:vertAlign w:val="superscript"/>
              </w:rPr>
              <w:t>(3)</w:t>
            </w: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24,725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5"/>
              <w:spacing w:after="0"/>
              <w:rPr>
                <w:sz w:val="20"/>
                <w:szCs w:val="20"/>
                <w:color w:val="auto"/>
              </w:rPr>
            </w:pPr>
            <w:r>
              <w:rPr>
                <w:rFonts w:ascii="Times New Roman" w:cs="Times New Roman" w:eastAsia="Times New Roman" w:hAnsi="Times New Roman"/>
                <w:sz w:val="17"/>
                <w:szCs w:val="17"/>
                <w:color w:val="0000FF"/>
                <w:w w:val="98"/>
              </w:rPr>
              <w:t>12/16/2025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1,031</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140.0824</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23,694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5"/>
              <w:spacing w:after="0"/>
              <w:rPr>
                <w:sz w:val="20"/>
                <w:szCs w:val="20"/>
                <w:color w:val="auto"/>
              </w:rPr>
            </w:pPr>
            <w:r>
              <w:rPr>
                <w:rFonts w:ascii="Times New Roman" w:cs="Times New Roman" w:eastAsia="Times New Roman" w:hAnsi="Times New Roman"/>
                <w:sz w:val="17"/>
                <w:szCs w:val="17"/>
                <w:color w:val="0000FF"/>
                <w:w w:val="98"/>
              </w:rPr>
              <w:t>12/16/2025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2,679</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141.2047</w:t>
            </w:r>
            <w:r>
              <w:rPr>
                <w:rFonts w:ascii="Times New Roman" w:cs="Times New Roman" w:eastAsia="Times New Roman" w:hAnsi="Times New Roman"/>
                <w:sz w:val="21"/>
                <w:szCs w:val="21"/>
                <w:color w:val="008000"/>
                <w:w w:val="93"/>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21,015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5"/>
              <w:spacing w:after="0"/>
              <w:rPr>
                <w:sz w:val="20"/>
                <w:szCs w:val="20"/>
                <w:color w:val="auto"/>
              </w:rPr>
            </w:pPr>
            <w:r>
              <w:rPr>
                <w:rFonts w:ascii="Times New Roman" w:cs="Times New Roman" w:eastAsia="Times New Roman" w:hAnsi="Times New Roman"/>
                <w:sz w:val="17"/>
                <w:szCs w:val="17"/>
                <w:color w:val="0000FF"/>
                <w:w w:val="98"/>
              </w:rPr>
              <w:t>12/16/2025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604</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142.1187</w:t>
            </w:r>
            <w:r>
              <w:rPr>
                <w:rFonts w:ascii="Times New Roman" w:cs="Times New Roman" w:eastAsia="Times New Roman" w:hAnsi="Times New Roman"/>
                <w:sz w:val="21"/>
                <w:szCs w:val="21"/>
                <w:color w:val="008000"/>
                <w:w w:val="93"/>
                <w:vertAlign w:val="superscript"/>
              </w:rPr>
              <w:t>(6)</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20,411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5"/>
              <w:spacing w:after="0"/>
              <w:rPr>
                <w:sz w:val="20"/>
                <w:szCs w:val="20"/>
                <w:color w:val="auto"/>
              </w:rPr>
            </w:pPr>
            <w:r>
              <w:rPr>
                <w:rFonts w:ascii="Times New Roman" w:cs="Times New Roman" w:eastAsia="Times New Roman" w:hAnsi="Times New Roman"/>
                <w:sz w:val="17"/>
                <w:szCs w:val="17"/>
                <w:color w:val="0000FF"/>
                <w:w w:val="98"/>
              </w:rPr>
              <w:t>12/16/2025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940</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144.2738</w:t>
            </w:r>
            <w:r>
              <w:rPr>
                <w:rFonts w:ascii="Times New Roman" w:cs="Times New Roman" w:eastAsia="Times New Roman" w:hAnsi="Times New Roman"/>
                <w:sz w:val="21"/>
                <w:szCs w:val="21"/>
                <w:color w:val="008000"/>
                <w:w w:val="93"/>
                <w:vertAlign w:val="superscript"/>
              </w:rPr>
              <w:t>(7)</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19,471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5"/>
              <w:spacing w:after="0"/>
              <w:rPr>
                <w:sz w:val="20"/>
                <w:szCs w:val="20"/>
                <w:color w:val="auto"/>
              </w:rPr>
            </w:pPr>
            <w:r>
              <w:rPr>
                <w:rFonts w:ascii="Times New Roman" w:cs="Times New Roman" w:eastAsia="Times New Roman" w:hAnsi="Times New Roman"/>
                <w:sz w:val="17"/>
                <w:szCs w:val="17"/>
                <w:color w:val="0000FF"/>
                <w:w w:val="98"/>
              </w:rPr>
              <w:t>12/16/2025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1,628</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145.3562</w:t>
            </w:r>
            <w:r>
              <w:rPr>
                <w:rFonts w:ascii="Times New Roman" w:cs="Times New Roman" w:eastAsia="Times New Roman" w:hAnsi="Times New Roman"/>
                <w:sz w:val="21"/>
                <w:szCs w:val="21"/>
                <w:color w:val="008000"/>
                <w:w w:val="93"/>
                <w:vertAlign w:val="superscript"/>
              </w:rPr>
              <w:t>(8)</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17,843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5"/>
              <w:spacing w:after="0"/>
              <w:rPr>
                <w:sz w:val="20"/>
                <w:szCs w:val="20"/>
                <w:color w:val="auto"/>
              </w:rPr>
            </w:pPr>
            <w:r>
              <w:rPr>
                <w:rFonts w:ascii="Times New Roman" w:cs="Times New Roman" w:eastAsia="Times New Roman" w:hAnsi="Times New Roman"/>
                <w:sz w:val="17"/>
                <w:szCs w:val="17"/>
                <w:color w:val="0000FF"/>
                <w:w w:val="98"/>
              </w:rPr>
              <w:t>12/16/2025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1,970</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146.9282</w:t>
            </w:r>
            <w:r>
              <w:rPr>
                <w:rFonts w:ascii="Times New Roman" w:cs="Times New Roman" w:eastAsia="Times New Roman" w:hAnsi="Times New Roman"/>
                <w:sz w:val="21"/>
                <w:szCs w:val="21"/>
                <w:color w:val="008000"/>
                <w:w w:val="93"/>
                <w:vertAlign w:val="superscript"/>
              </w:rPr>
              <w:t>(9)</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15,873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5"/>
              <w:spacing w:after="0"/>
              <w:rPr>
                <w:sz w:val="20"/>
                <w:szCs w:val="20"/>
                <w:color w:val="auto"/>
              </w:rPr>
            </w:pPr>
            <w:r>
              <w:rPr>
                <w:rFonts w:ascii="Times New Roman" w:cs="Times New Roman" w:eastAsia="Times New Roman" w:hAnsi="Times New Roman"/>
                <w:sz w:val="17"/>
                <w:szCs w:val="17"/>
                <w:color w:val="0000FF"/>
                <w:w w:val="98"/>
              </w:rPr>
              <w:t>12/16/2025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932</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148.5496</w:t>
            </w:r>
            <w:r>
              <w:rPr>
                <w:rFonts w:ascii="Times New Roman" w:cs="Times New Roman" w:eastAsia="Times New Roman" w:hAnsi="Times New Roman"/>
                <w:sz w:val="21"/>
                <w:szCs w:val="21"/>
                <w:color w:val="008000"/>
                <w:w w:val="93"/>
                <w:vertAlign w:val="superscript"/>
              </w:rPr>
              <w:t>(10)</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14,941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5"/>
              <w:spacing w:after="0"/>
              <w:rPr>
                <w:sz w:val="20"/>
                <w:szCs w:val="20"/>
                <w:color w:val="auto"/>
              </w:rPr>
            </w:pPr>
            <w:r>
              <w:rPr>
                <w:rFonts w:ascii="Times New Roman" w:cs="Times New Roman" w:eastAsia="Times New Roman" w:hAnsi="Times New Roman"/>
                <w:sz w:val="17"/>
                <w:szCs w:val="17"/>
                <w:color w:val="0000FF"/>
                <w:w w:val="98"/>
              </w:rPr>
              <w:t>12/16/2025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274</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149.198</w:t>
            </w:r>
            <w:r>
              <w:rPr>
                <w:rFonts w:ascii="Times New Roman" w:cs="Times New Roman" w:eastAsia="Times New Roman" w:hAnsi="Times New Roman"/>
                <w:sz w:val="21"/>
                <w:szCs w:val="21"/>
                <w:color w:val="008000"/>
                <w:w w:val="93"/>
                <w:vertAlign w:val="superscript"/>
              </w:rPr>
              <w:t>(11)</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14,667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5"/>
              <w:spacing w:after="0"/>
              <w:rPr>
                <w:sz w:val="20"/>
                <w:szCs w:val="20"/>
                <w:color w:val="auto"/>
              </w:rPr>
            </w:pPr>
            <w:r>
              <w:rPr>
                <w:rFonts w:ascii="Times New Roman" w:cs="Times New Roman" w:eastAsia="Times New Roman" w:hAnsi="Times New Roman"/>
                <w:sz w:val="17"/>
                <w:szCs w:val="17"/>
                <w:color w:val="0000FF"/>
                <w:w w:val="98"/>
              </w:rPr>
              <w:t>12/16/2025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74</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ind w:left="12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150.75</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14,593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5"/>
              <w:spacing w:after="0"/>
              <w:rPr>
                <w:sz w:val="20"/>
                <w:szCs w:val="20"/>
                <w:color w:val="auto"/>
              </w:rPr>
            </w:pPr>
            <w:r>
              <w:rPr>
                <w:rFonts w:ascii="Times New Roman" w:cs="Times New Roman" w:eastAsia="Times New Roman" w:hAnsi="Times New Roman"/>
                <w:sz w:val="17"/>
                <w:szCs w:val="17"/>
                <w:color w:val="0000FF"/>
                <w:w w:val="98"/>
              </w:rPr>
              <w:t>12/16/2025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356</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ind w:left="12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140.95</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14,237</w:t>
            </w:r>
            <w:r>
              <w:rPr>
                <w:rFonts w:ascii="Times New Roman" w:cs="Times New Roman" w:eastAsia="Times New Roman" w:hAnsi="Times New Roman"/>
                <w:sz w:val="21"/>
                <w:szCs w:val="21"/>
                <w:color w:val="008000"/>
                <w:w w:val="91"/>
                <w:vertAlign w:val="superscript"/>
              </w:rPr>
              <w:t>(12)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05"/>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3, 4 and 5)</w:t>
            </w: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2"/>
          </w:tcPr>
          <w:p>
            <w:pPr>
              <w:ind w:left="3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2"/>
          </w:tcPr>
          <w:p>
            <w:pPr>
              <w:ind w:left="32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2"/>
          </w:tcPr>
          <w:p>
            <w:pPr>
              <w:ind w:left="32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880" w:type="dxa"/>
            <w:vAlign w:val="bottom"/>
            <w:gridSpan w:val="2"/>
          </w:tcPr>
          <w:p>
            <w:pPr>
              <w:ind w:left="32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880" w:type="dxa"/>
            <w:vAlign w:val="bottom"/>
            <w:gridSpan w:val="2"/>
          </w:tcPr>
          <w:p>
            <w:pPr>
              <w:ind w:left="3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20" w:type="dxa"/>
            <w:vAlign w:val="bottom"/>
          </w:tcPr>
          <w:p>
            <w:pPr>
              <w:jc w:val="center"/>
              <w:ind w:right="555"/>
              <w:spacing w:after="0"/>
              <w:rPr>
                <w:sz w:val="20"/>
                <w:szCs w:val="20"/>
                <w:color w:val="auto"/>
              </w:rPr>
            </w:pPr>
            <w:r>
              <w:rPr>
                <w:rFonts w:ascii="Times New Roman" w:cs="Times New Roman" w:eastAsia="Times New Roman" w:hAnsi="Times New Roman"/>
                <w:sz w:val="13"/>
                <w:szCs w:val="13"/>
                <w:color w:val="0000FF"/>
                <w:w w:val="97"/>
              </w:rPr>
              <w:t>Class A</w:t>
            </w: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820" w:type="dxa"/>
            <w:vAlign w:val="bottom"/>
            <w:vMerge w:val="continue"/>
          </w:tcPr>
          <w:p>
            <w:pPr>
              <w:spacing w:after="0"/>
              <w:rPr>
                <w:sz w:val="6"/>
                <w:szCs w:val="6"/>
                <w:color w:val="auto"/>
              </w:rPr>
            </w:pPr>
          </w:p>
        </w:tc>
        <w:tc>
          <w:tcPr>
            <w:tcW w:w="60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(1)</w:t>
            </w:r>
          </w:p>
        </w:tc>
        <w:tc>
          <w:tcPr>
            <w:tcW w:w="1620" w:type="dxa"/>
            <w:vAlign w:val="bottom"/>
            <w:vMerge w:val="restart"/>
          </w:tcPr>
          <w:p>
            <w:pPr>
              <w:jc w:val="right"/>
              <w:ind w:right="675"/>
              <w:spacing w:after="0"/>
              <w:rPr>
                <w:sz w:val="20"/>
                <w:szCs w:val="20"/>
                <w:color w:val="auto"/>
              </w:rPr>
            </w:pPr>
            <w:r>
              <w:rPr>
                <w:rFonts w:ascii="Times New Roman" w:cs="Times New Roman" w:eastAsia="Times New Roman" w:hAnsi="Times New Roman"/>
                <w:sz w:val="13"/>
                <w:szCs w:val="13"/>
                <w:color w:val="0000FF"/>
              </w:rPr>
              <w:t>12/16/2025</w:t>
            </w:r>
          </w:p>
        </w:tc>
        <w:tc>
          <w:tcPr>
            <w:tcW w:w="1320" w:type="dxa"/>
            <w:vAlign w:val="bottom"/>
            <w:vMerge w:val="restart"/>
          </w:tcPr>
          <w:p>
            <w:pPr>
              <w:ind w:left="760"/>
              <w:spacing w:after="0"/>
              <w:rPr>
                <w:sz w:val="20"/>
                <w:szCs w:val="20"/>
                <w:color w:val="auto"/>
              </w:rPr>
            </w:pPr>
            <w:r>
              <w:rPr>
                <w:rFonts w:ascii="Times New Roman" w:cs="Times New Roman" w:eastAsia="Times New Roman" w:hAnsi="Times New Roman"/>
                <w:sz w:val="13"/>
                <w:szCs w:val="13"/>
                <w:color w:val="0000FF"/>
              </w:rPr>
              <w:t>M</w:t>
            </w:r>
          </w:p>
        </w:tc>
        <w:tc>
          <w:tcPr>
            <w:tcW w:w="1000" w:type="dxa"/>
            <w:vAlign w:val="bottom"/>
            <w:vMerge w:val="restart"/>
          </w:tcPr>
          <w:p>
            <w:pPr>
              <w:jc w:val="right"/>
              <w:ind w:right="135"/>
              <w:spacing w:after="0"/>
              <w:rPr>
                <w:sz w:val="20"/>
                <w:szCs w:val="20"/>
                <w:color w:val="auto"/>
              </w:rPr>
            </w:pPr>
            <w:r>
              <w:rPr>
                <w:rFonts w:ascii="Times New Roman" w:cs="Times New Roman" w:eastAsia="Times New Roman" w:hAnsi="Times New Roman"/>
                <w:sz w:val="13"/>
                <w:szCs w:val="13"/>
                <w:color w:val="0000FF"/>
              </w:rPr>
              <w:t>18,750</w:t>
            </w:r>
          </w:p>
        </w:tc>
        <w:tc>
          <w:tcPr>
            <w:tcW w:w="6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(13)</w:t>
            </w:r>
          </w:p>
        </w:tc>
        <w:tc>
          <w:tcPr>
            <w:tcW w:w="64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(13)</w:t>
            </w:r>
          </w:p>
        </w:tc>
        <w:tc>
          <w:tcPr>
            <w:tcW w:w="1420" w:type="dxa"/>
            <w:vAlign w:val="bottom"/>
            <w:vMerge w:val="restart"/>
          </w:tcPr>
          <w:p>
            <w:pPr>
              <w:ind w:left="160"/>
              <w:spacing w:after="0" w:line="155" w:lineRule="exact"/>
              <w:rPr>
                <w:sz w:val="20"/>
                <w:szCs w:val="20"/>
                <w:color w:val="auto"/>
              </w:rPr>
            </w:pPr>
            <w:r>
              <w:rPr>
                <w:rFonts w:ascii="Times New Roman" w:cs="Times New Roman" w:eastAsia="Times New Roman" w:hAnsi="Times New Roman"/>
                <w:sz w:val="13"/>
                <w:szCs w:val="13"/>
                <w:color w:val="0000FF"/>
              </w:rPr>
              <w:t xml:space="preserve">Common  </w:t>
            </w:r>
            <w:r>
              <w:rPr>
                <w:rFonts w:ascii="Times New Roman" w:cs="Times New Roman" w:eastAsia="Times New Roman" w:hAnsi="Times New Roman"/>
                <w:sz w:val="16"/>
                <w:szCs w:val="16"/>
                <w:color w:val="0000FF"/>
              </w:rPr>
              <w:t>18,750</w:t>
            </w:r>
          </w:p>
        </w:tc>
        <w:tc>
          <w:tcPr>
            <w:tcW w:w="580" w:type="dxa"/>
            <w:vAlign w:val="bottom"/>
            <w:vMerge w:val="restart"/>
          </w:tcPr>
          <w:p>
            <w:pPr>
              <w:jc w:val="right"/>
              <w:ind w:right="2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60" w:type="dxa"/>
            <w:vAlign w:val="bottom"/>
            <w:vMerge w:val="restart"/>
          </w:tcPr>
          <w:p>
            <w:pPr>
              <w:jc w:val="right"/>
              <w:ind w:right="255"/>
              <w:spacing w:after="0"/>
              <w:rPr>
                <w:sz w:val="20"/>
                <w:szCs w:val="20"/>
                <w:color w:val="auto"/>
              </w:rPr>
            </w:pPr>
            <w:r>
              <w:rPr>
                <w:rFonts w:ascii="Times New Roman" w:cs="Times New Roman" w:eastAsia="Times New Roman" w:hAnsi="Times New Roman"/>
                <w:sz w:val="13"/>
                <w:szCs w:val="13"/>
                <w:color w:val="0000FF"/>
              </w:rPr>
              <w:t>93,750</w:t>
            </w:r>
          </w:p>
        </w:tc>
        <w:tc>
          <w:tcPr>
            <w:tcW w:w="144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77"/>
        </w:trPr>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0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82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20" w:type="dxa"/>
            <w:vAlign w:val="bottom"/>
            <w:vMerge w:val="restart"/>
          </w:tcPr>
          <w:p>
            <w:pPr>
              <w:jc w:val="center"/>
              <w:ind w:right="535"/>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82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1620" w:type="dxa"/>
            <w:vAlign w:val="bottom"/>
            <w:tcBorders>
              <w:bottom w:val="single" w:sz="8" w:color="808080"/>
            </w:tcBorders>
          </w:tcPr>
          <w:p>
            <w:pPr>
              <w:spacing w:after="0"/>
              <w:rPr>
                <w:sz w:val="3"/>
                <w:szCs w:val="3"/>
                <w:color w:val="auto"/>
              </w:rPr>
            </w:pPr>
          </w:p>
        </w:tc>
        <w:tc>
          <w:tcPr>
            <w:tcW w:w="132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4" w:lineRule="exact"/>
        <w:rPr>
          <w:rFonts w:ascii="Times New Roman" w:cs="Times New Roman" w:eastAsia="Times New Roman" w:hAnsi="Times New Roman"/>
          <w:sz w:val="13"/>
          <w:szCs w:val="13"/>
          <w:color w:val="008000"/>
        </w:rPr>
      </w:pPr>
    </w:p>
    <w:p>
      <w:pPr>
        <w:ind w:right="460" w:firstLine="2"/>
        <w:spacing w:after="0" w:line="256"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6" w:lineRule="exact"/>
        <w:rPr>
          <w:rFonts w:ascii="Times New Roman" w:cs="Times New Roman" w:eastAsia="Times New Roman" w:hAnsi="Times New Roman"/>
          <w:sz w:val="13"/>
          <w:szCs w:val="13"/>
          <w:color w:val="008000"/>
        </w:rPr>
      </w:pPr>
    </w:p>
    <w:p>
      <w:pPr>
        <w:jc w:val="both"/>
        <w:ind w:firstLine="2"/>
        <w:spacing w:after="0" w:line="242"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$138.65 to $139.41,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and in footnotes 4 through 11.</w:t>
      </w:r>
    </w:p>
    <w:p>
      <w:pPr>
        <w:spacing w:after="0" w:line="25"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$139.70 to $140.465, inclusive.</w:t>
      </w:r>
    </w:p>
    <w:p>
      <w:pPr>
        <w:spacing w:after="0" w:line="44"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$140.72 to $141.68, inclusive.</w:t>
      </w:r>
    </w:p>
    <w:p>
      <w:pPr>
        <w:spacing w:after="0" w:line="44"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$141.76 to $142.41, inclusive.</w:t>
      </w:r>
    </w:p>
    <w:p>
      <w:pPr>
        <w:spacing w:after="0" w:line="44"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$143.75 to $144.74, inclusive.</w:t>
      </w:r>
    </w:p>
    <w:p>
      <w:pPr>
        <w:spacing w:after="0" w:line="44"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$144.80 to $145.55, inclusive.</w:t>
      </w:r>
    </w:p>
    <w:p>
      <w:pPr>
        <w:spacing w:after="0" w:line="44"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$146.605 to $147.51, inclusive.</w:t>
      </w:r>
    </w:p>
    <w:p>
      <w:pPr>
        <w:spacing w:after="0" w:line="44" w:lineRule="exact"/>
        <w:rPr>
          <w:rFonts w:ascii="Times New Roman" w:cs="Times New Roman" w:eastAsia="Times New Roman" w:hAnsi="Times New Roman"/>
          <w:sz w:val="13"/>
          <w:szCs w:val="13"/>
          <w:color w:val="008000"/>
        </w:rPr>
      </w:pPr>
    </w:p>
    <w:p>
      <w:pPr>
        <w:ind w:left="200" w:hanging="198"/>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$147.85 to $148.76, inclusive.</w:t>
      </w:r>
    </w:p>
    <w:p>
      <w:pPr>
        <w:spacing w:after="0" w:line="44" w:lineRule="exact"/>
        <w:rPr>
          <w:rFonts w:ascii="Times New Roman" w:cs="Times New Roman" w:eastAsia="Times New Roman" w:hAnsi="Times New Roman"/>
          <w:sz w:val="13"/>
          <w:szCs w:val="13"/>
          <w:color w:val="008000"/>
        </w:rPr>
      </w:pPr>
    </w:p>
    <w:p>
      <w:pPr>
        <w:ind w:left="200" w:hanging="198"/>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$149.01 to $149.32, inclusive.</w:t>
      </w:r>
    </w:p>
    <w:p>
      <w:pPr>
        <w:spacing w:after="0" w:line="44" w:lineRule="exact"/>
        <w:rPr>
          <w:rFonts w:ascii="Times New Roman" w:cs="Times New Roman" w:eastAsia="Times New Roman" w:hAnsi="Times New Roman"/>
          <w:sz w:val="13"/>
          <w:szCs w:val="13"/>
          <w:color w:val="008000"/>
        </w:rPr>
      </w:pPr>
    </w:p>
    <w:p>
      <w:pPr>
        <w:ind w:right="240" w:firstLine="2"/>
        <w:spacing w:after="0" w:line="242" w:lineRule="auto"/>
        <w:tabs>
          <w:tab w:leader="none" w:pos="19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reported sale undertaken to satisfy tax withholding liabilities, in addition to the 14,237 shares of Class A Common Stock beneficially owned by the Reporting Person, the Reporting Person beneficially owned RSUs representing contingent rights to receive up to an aggregate of 415,368 shares of Class A Common Stock and options to purchase up to an aggregate of 107,610 shares of Class A Common Stock, which RSUs and options vest according to their respective terms.</w:t>
      </w:r>
    </w:p>
    <w:p>
      <w:pPr>
        <w:spacing w:after="0" w:line="25" w:lineRule="exact"/>
        <w:rPr>
          <w:rFonts w:ascii="Times New Roman" w:cs="Times New Roman" w:eastAsia="Times New Roman" w:hAnsi="Times New Roman"/>
          <w:sz w:val="13"/>
          <w:szCs w:val="13"/>
          <w:color w:val="008000"/>
        </w:rPr>
      </w:pPr>
    </w:p>
    <w:p>
      <w:pPr>
        <w:ind w:right="80" w:firstLine="2"/>
        <w:spacing w:after="0" w:line="248" w:lineRule="auto"/>
        <w:tabs>
          <w:tab w:leader="none" w:pos="19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of the total award vested or vests quarterly, subject to the Reporting Person's continued service to the Issuer on each vesting date, and with the first tranche vested on March 16, 2023. These RSUs do not have an expiration date; they either vest or are cancelled prior to the vesting date.</w:t>
      </w:r>
    </w:p>
    <w:p>
      <w:pPr>
        <w:ind w:left="6560"/>
        <w:spacing w:after="0" w:line="180" w:lineRule="auto"/>
        <w:rPr>
          <w:sz w:val="20"/>
          <w:szCs w:val="20"/>
          <w:color w:val="auto"/>
        </w:rPr>
      </w:pPr>
      <w:r>
        <w:rPr>
          <w:rFonts w:ascii="Times New Roman" w:cs="Times New Roman" w:eastAsia="Times New Roman" w:hAnsi="Times New Roman"/>
          <w:sz w:val="16"/>
          <w:szCs w:val="16"/>
          <w:color w:val="0000FF"/>
        </w:rPr>
        <w:t xml:space="preserve">/s/ Bridget Brown, Attorney-in- </w:t>
      </w:r>
      <w:r>
        <w:rPr>
          <w:rFonts w:ascii="Times New Roman" w:cs="Times New Roman" w:eastAsia="Times New Roman" w:hAnsi="Times New Roman"/>
          <w:sz w:val="32"/>
          <w:szCs w:val="32"/>
          <w:color w:val="0000FF"/>
          <w:vertAlign w:val="subscript"/>
        </w:rPr>
        <w:t>12/18/2025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-26670</wp:posOffset>
            </wp:positionV>
            <wp:extent cx="13493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5559425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20"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89575"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2025-12-18T16:24:03Z</dcterms:created>
  <dcterms:modified xsi:type="dcterms:W3CDTF">2025-12-18T16:24:03Z</dcterms:modified>
</cp:coreProperties>
</file>