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3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ICAHN SCHOOL OF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07/22/2021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MEDICINE AT MOUNT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SMFR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SINAI</w:t>
        </w:r>
      </w:hyperlink>
    </w:p>
    <w:p>
      <w:pPr>
        <w:spacing w:after="0" w:line="377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 GUSTAVE L. LEVY PLACE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10029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Ownership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88,355,473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Earn-out Shares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11,597,198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140"/>
        <w:spacing w:after="0" w:line="234" w:lineRule="auto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ICAHN SCHOOL OF MEDICINE AT</w:t>
        </w:r>
      </w:hyperlink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MOUNT SINAI</w:t>
        </w:r>
      </w:hyperlink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1 GUSTAVE L. LEVY PLACE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10029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140"/>
        <w:spacing w:after="0" w:line="234" w:lineRule="auto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MOUNT SINAI HEALTH SYSTEM,</w:t>
        </w:r>
      </w:hyperlink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INC.</w:t>
        </w:r>
      </w:hyperlink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500" w:val="left"/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150 EAST 42ND STREET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2-B.17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ectPr>
          <w:pgSz w:w="11900" w:h="16843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500" w:val="left"/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NEW YORK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10017</w:t>
      </w:r>
    </w:p>
    <w:p>
      <w:pPr>
        <w:sectPr>
          <w:pgSz w:w="11900" w:h="16843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p>
      <w:pPr>
        <w:ind w:left="100"/>
        <w:spacing w:after="0"/>
        <w:tabs>
          <w:tab w:leader="none" w:pos="14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2798445" cy="327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32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firstLine="5"/>
        <w:spacing w:after="0" w:line="241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securities reported herein are held directly by the Reporting Person. As its sole member, Mount Sinai Health System, Inc., a NY not-for-profit corporation ("MSHS"), may be deemed to beneficially own securities owned by the Reporting Person; however, MSHS does not have voting or investment power over such securities and disclaims beneficial interest therein except to the extent of its pecuniary interest, if any.</w:t>
      </w:r>
    </w:p>
    <w:p>
      <w:pPr>
        <w:spacing w:after="0" w:line="35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right="100" w:firstLine="5"/>
        <w:spacing w:after="0" w:line="241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Shares of Issuer's Class A common stock that may be issued upon the occurrence of certain triggering events pursuant to the earn-out provisions of that certain Agreement and Plan of Merger, dated February 9, 2021 (the "Merger Agreement"), by and among CM Life Sciences, Inc., S-IV Sub, Inc., and Mount Sinai Genomics, Inc. d/b/a Sema4 (the "Earn Out Shares").</w:t>
      </w:r>
    </w:p>
    <w:p>
      <w:pPr>
        <w:spacing w:after="0" w:line="35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See footnote 2.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Not applicable.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right="40" w:firstLine="5"/>
        <w:spacing w:after="0" w:line="253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Maximum number of shares of Class A common stock of Issuer that may be issued to Reporting Person pursuant to the Merger Agreement as a result of the occurrence of certain triggering events set forth therein.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Stephen Harvey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10/07/2021</w:t>
            </w:r>
          </w:p>
        </w:tc>
      </w:tr>
      <w:tr>
        <w:trPr>
          <w:trHeight w:val="280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Stephen Harvey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10/07/2021</w:t>
            </w:r>
          </w:p>
        </w:tc>
      </w:tr>
    </w:tbl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20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right="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20" w:top="334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3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883139" TargetMode="External"/><Relationship Id="rId11" Type="http://schemas.openxmlformats.org/officeDocument/2006/relationships/hyperlink" Target="http://www.sec.gov/cgi-bin/browse-edgar?action=getcompany&amp;CIK=0001818331" TargetMode="External"/><Relationship Id="rId12" Type="http://schemas.openxmlformats.org/officeDocument/2006/relationships/hyperlink" Target="http://www.sec.gov/cgi-bin/browse-edgar?action=getcompany&amp;CIK=0001883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2021-10-07T19:12:06Z</dcterms:created>
  <dcterms:modified xsi:type="dcterms:W3CDTF">2021-10-07T19:12:06Z</dcterms:modified>
</cp:coreProperties>
</file>