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20, 2023</w:t>
      </w:r>
      <w:r>
        <w:rPr>
          <w:rFonts w:ascii="Arial" w:cs="Arial" w:eastAsia="Arial" w:hAnsi="Arial"/>
          <w:sz w:val="22"/>
          <w:szCs w:val="22"/>
          <w:color w:val="auto"/>
        </w:rPr>
        <w:t xml:space="preserve"> (</w:t>
      </w:r>
      <w:r>
        <w:rPr>
          <w:rFonts w:ascii="Arial" w:cs="Arial" w:eastAsia="Arial" w:hAnsi="Arial"/>
          <w:sz w:val="22"/>
          <w:szCs w:val="22"/>
          <w:b w:val="1"/>
          <w:bCs w:val="1"/>
          <w:color w:val="auto"/>
        </w:rPr>
        <w:t>June 14, 2023)</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GeneDx Holdings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4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0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001-39482</w:t>
            </w:r>
          </w:p>
        </w:tc>
        <w:tc>
          <w:tcPr>
            <w:tcW w:w="4240" w:type="dxa"/>
            <w:vAlign w:val="bottom"/>
            <w:gridSpan w:val="2"/>
          </w:tcPr>
          <w:p>
            <w:pPr>
              <w:jc w:val="right"/>
              <w:ind w:right="1550"/>
              <w:spacing w:after="0"/>
              <w:rPr>
                <w:sz w:val="20"/>
                <w:szCs w:val="20"/>
                <w:color w:val="auto"/>
              </w:rPr>
            </w:pPr>
            <w:r>
              <w:rPr>
                <w:rFonts w:ascii="Arial" w:cs="Arial" w:eastAsia="Arial" w:hAnsi="Arial"/>
                <w:sz w:val="18"/>
                <w:szCs w:val="18"/>
                <w:b w:val="1"/>
                <w:bCs w:val="1"/>
                <w:color w:val="auto"/>
              </w:rPr>
              <w:t>85-1966622</w:t>
            </w:r>
          </w:p>
        </w:tc>
      </w:tr>
      <w:tr>
        <w:trPr>
          <w:trHeight w:val="27"/>
        </w:trPr>
        <w:tc>
          <w:tcPr>
            <w:tcW w:w="4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69"/>
        </w:trPr>
        <w:tc>
          <w:tcPr>
            <w:tcW w:w="4260" w:type="dxa"/>
            <w:vAlign w:val="bottom"/>
          </w:tcPr>
          <w:p>
            <w:pPr>
              <w:jc w:val="center"/>
              <w:spacing w:after="0" w:line="169"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4"/>
                <w:szCs w:val="14"/>
                <w:color w:val="auto"/>
              </w:rPr>
            </w:pPr>
          </w:p>
        </w:tc>
        <w:tc>
          <w:tcPr>
            <w:tcW w:w="4140" w:type="dxa"/>
            <w:vAlign w:val="bottom"/>
          </w:tcPr>
          <w:p>
            <w:pPr>
              <w:jc w:val="center"/>
              <w:spacing w:after="0" w:line="169"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6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10"/>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64"/>
        </w:trPr>
        <w:tc>
          <w:tcPr>
            <w:tcW w:w="4260" w:type="dxa"/>
            <w:vAlign w:val="bottom"/>
          </w:tcPr>
          <w:p>
            <w:pPr>
              <w:ind w:left="132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24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rPr>
              <w:t>06902</w:t>
            </w:r>
          </w:p>
        </w:tc>
      </w:tr>
      <w:tr>
        <w:trPr>
          <w:trHeight w:val="230"/>
        </w:trPr>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50"/>
        </w:trPr>
        <w:tc>
          <w:tcPr>
            <w:tcW w:w="4260" w:type="dxa"/>
            <w:vAlign w:val="bottom"/>
          </w:tcPr>
          <w:p>
            <w:pPr>
              <w:spacing w:after="0"/>
              <w:rPr>
                <w:sz w:val="24"/>
                <w:szCs w:val="24"/>
                <w:color w:val="auto"/>
              </w:rPr>
            </w:pPr>
          </w:p>
        </w:tc>
        <w:tc>
          <w:tcPr>
            <w:tcW w:w="27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(800) 298-6470</w:t>
            </w: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 w:type="dxa"/>
            <w:vAlign w:val="bottom"/>
            <w:tcBorders>
              <w:bottom w:val="single" w:sz="8" w:color="CCEEFF"/>
            </w:tcBorders>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common stock, par value $0.0001 per share</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WGS</w:t>
            </w:r>
          </w:p>
        </w:tc>
        <w:tc>
          <w:tcPr>
            <w:tcW w:w="100" w:type="dxa"/>
            <w:vAlign w:val="bottom"/>
            <w:shd w:val="clear" w:color="auto" w:fill="CCEEFF"/>
          </w:tcPr>
          <w:p>
            <w:pPr>
              <w:spacing w:after="0"/>
              <w:rPr>
                <w:sz w:val="19"/>
                <w:szCs w:val="19"/>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780" w:type="dxa"/>
            <w:vAlign w:val="bottom"/>
          </w:tcPr>
          <w:p>
            <w:pPr>
              <w:jc w:val="center"/>
              <w:spacing w:after="0" w:line="176" w:lineRule="exact"/>
              <w:rPr>
                <w:sz w:val="20"/>
                <w:szCs w:val="20"/>
                <w:color w:val="auto"/>
              </w:rPr>
            </w:pPr>
            <w:r>
              <w:rPr>
                <w:rFonts w:ascii="Arial" w:cs="Arial" w:eastAsia="Arial" w:hAnsi="Arial"/>
                <w:sz w:val="18"/>
                <w:szCs w:val="18"/>
                <w:color w:val="auto"/>
                <w:w w:val="88"/>
              </w:rPr>
              <w:t>Warrants to purchase one share of Class A common stock, each at</w:t>
            </w:r>
          </w:p>
        </w:tc>
        <w:tc>
          <w:tcPr>
            <w:tcW w:w="100" w:type="dxa"/>
            <w:vAlign w:val="bottom"/>
          </w:tcPr>
          <w:p>
            <w:pPr>
              <w:spacing w:after="0"/>
              <w:rPr>
                <w:sz w:val="15"/>
                <w:szCs w:val="15"/>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6"/>
              </w:rPr>
              <w:t>WGSWW</w:t>
            </w:r>
          </w:p>
        </w:tc>
        <w:tc>
          <w:tcPr>
            <w:tcW w:w="100" w:type="dxa"/>
            <w:vAlign w:val="bottom"/>
          </w:tcPr>
          <w:p>
            <w:pPr>
              <w:spacing w:after="0"/>
              <w:rPr>
                <w:sz w:val="15"/>
                <w:szCs w:val="15"/>
                <w:color w:val="auto"/>
              </w:rPr>
            </w:pP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49"/>
        </w:trPr>
        <w:tc>
          <w:tcPr>
            <w:tcW w:w="4780" w:type="dxa"/>
            <w:vAlign w:val="bottom"/>
            <w:vMerge w:val="restart"/>
          </w:tcPr>
          <w:p>
            <w:pPr>
              <w:jc w:val="center"/>
              <w:spacing w:after="0"/>
              <w:rPr>
                <w:sz w:val="20"/>
                <w:szCs w:val="20"/>
                <w:color w:val="auto"/>
              </w:rPr>
            </w:pPr>
            <w:r>
              <w:rPr>
                <w:rFonts w:ascii="Arial" w:cs="Arial" w:eastAsia="Arial" w:hAnsi="Arial"/>
                <w:sz w:val="18"/>
                <w:szCs w:val="18"/>
                <w:color w:val="auto"/>
                <w:w w:val="89"/>
              </w:rPr>
              <w:t>an exercise price of $379.50 per share</w:t>
            </w:r>
          </w:p>
        </w:tc>
        <w:tc>
          <w:tcPr>
            <w:tcW w:w="10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8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June 14, 2023, GeneDx Holdings Corp., a Delaware corporation (the “Company”), held its Annual Meeting of Stockholders (the “Annual Meeting”). At the Annual Meeting, the Stockholders considered and voted on the matters listed below. The proposals are described in detail</w:t>
      </w:r>
    </w:p>
    <w:p>
      <w:pPr>
        <w:spacing w:after="0"/>
        <w:rPr>
          <w:sz w:val="20"/>
          <w:szCs w:val="20"/>
          <w:color w:val="auto"/>
        </w:rPr>
      </w:pPr>
      <w:r>
        <w:rPr>
          <w:rFonts w:ascii="Arial" w:cs="Arial" w:eastAsia="Arial" w:hAnsi="Arial"/>
          <w:sz w:val="19"/>
          <w:szCs w:val="19"/>
          <w:color w:val="auto"/>
        </w:rPr>
        <w:t>in the Company’s Definitive Proxy Statement on Schedule 14A filed with the Securities and Exchange Commission on April 28, 2023.</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There were 25,590,152 shares of the Class A common stock issued and outstanding on May 8, 2023, the record date for the Annual Meeting.</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The Stockholders voted on the following proposals at the Annual Meeting, each of which was approved.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final voting results from the Annual Meeting are set forth below.</w:t>
      </w:r>
    </w:p>
    <w:p>
      <w:pPr>
        <w:spacing w:after="0" w:line="210" w:lineRule="exact"/>
        <w:rPr>
          <w:sz w:val="20"/>
          <w:szCs w:val="20"/>
          <w:color w:val="auto"/>
        </w:rPr>
      </w:pPr>
    </w:p>
    <w:p>
      <w:pPr>
        <w:jc w:val="right"/>
        <w:ind w:left="340"/>
        <w:spacing w:after="0" w:line="239" w:lineRule="auto"/>
        <w:rPr>
          <w:sz w:val="20"/>
          <w:szCs w:val="20"/>
          <w:color w:val="auto"/>
        </w:rPr>
      </w:pPr>
      <w:r>
        <w:rPr>
          <w:rFonts w:ascii="Arial" w:cs="Arial" w:eastAsia="Arial" w:hAnsi="Arial"/>
          <w:sz w:val="18"/>
          <w:szCs w:val="18"/>
          <w:b w:val="1"/>
          <w:bCs w:val="1"/>
          <w:color w:val="auto"/>
        </w:rPr>
        <w:t xml:space="preserve">(1) Proposal No. 1 </w:t>
      </w:r>
      <w:r>
        <w:rPr>
          <w:rFonts w:ascii="Arial" w:cs="Arial" w:eastAsia="Arial" w:hAnsi="Arial"/>
          <w:sz w:val="18"/>
          <w:szCs w:val="18"/>
          <w:color w:val="auto"/>
        </w:rPr>
        <w:t>— </w:t>
      </w:r>
      <w:r>
        <w:rPr>
          <w:rFonts w:ascii="Arial" w:cs="Arial" w:eastAsia="Arial" w:hAnsi="Arial"/>
          <w:sz w:val="18"/>
          <w:szCs w:val="18"/>
          <w:b w:val="1"/>
          <w:bCs w:val="1"/>
          <w:color w:val="auto"/>
        </w:rPr>
        <w:t>The Class II Director Election Proposal </w:t>
      </w:r>
      <w:r>
        <w:rPr>
          <w:rFonts w:ascii="Arial" w:cs="Arial" w:eastAsia="Arial" w:hAnsi="Arial"/>
          <w:sz w:val="18"/>
          <w:szCs w:val="18"/>
          <w:color w:val="auto"/>
        </w:rPr>
        <w:t>— To elect two Class II directors of the Company, each to serve a</w:t>
      </w:r>
      <w:r>
        <w:rPr>
          <w:rFonts w:ascii="Arial" w:cs="Arial" w:eastAsia="Arial" w:hAnsi="Arial"/>
          <w:sz w:val="18"/>
          <w:szCs w:val="18"/>
          <w:b w:val="1"/>
          <w:bCs w:val="1"/>
          <w:color w:val="auto"/>
        </w:rPr>
        <w:t xml:space="preserve"> </w:t>
      </w:r>
      <w:r>
        <w:rPr>
          <w:rFonts w:ascii="Arial" w:cs="Arial" w:eastAsia="Arial" w:hAnsi="Arial"/>
          <w:sz w:val="18"/>
          <w:szCs w:val="18"/>
          <w:color w:val="auto"/>
        </w:rPr>
        <w:t>three-year term expiring at the Company’s 2026 annual meeting of stockholders and until such director’s successor is duly elected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qualified or until such director’s earlier death, resignation, disqualification or removal:</w:t>
      </w:r>
    </w:p>
    <w:p>
      <w:pPr>
        <w:spacing w:after="0" w:line="237" w:lineRule="exact"/>
        <w:rPr>
          <w:sz w:val="20"/>
          <w:szCs w:val="20"/>
          <w:color w:val="auto"/>
        </w:rPr>
      </w:pPr>
    </w:p>
    <w:tbl>
      <w:tblPr>
        <w:tblLayout w:type="fixed"/>
        <w:tblInd w:w="1630" w:type="dxa"/>
        <w:tblCellMar>
          <w:top w:w="0" w:type="dxa"/>
          <w:left w:w="0" w:type="dxa"/>
          <w:bottom w:w="0" w:type="dxa"/>
          <w:right w:w="0" w:type="dxa"/>
        </w:tblCellMar>
      </w:tblPr>
      <w:tr>
        <w:trPr>
          <w:trHeight w:val="256"/>
        </w:trPr>
        <w:tc>
          <w:tcPr>
            <w:tcW w:w="1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Nominee</w:t>
            </w:r>
          </w:p>
        </w:tc>
        <w:tc>
          <w:tcPr>
            <w:tcW w:w="180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Votes For</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Votes Withheld</w:t>
            </w:r>
          </w:p>
        </w:tc>
      </w:tr>
      <w:tr>
        <w:trPr>
          <w:trHeight w:val="247"/>
        </w:trPr>
        <w:tc>
          <w:tcPr>
            <w:tcW w:w="1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Katherine Stueland</w:t>
            </w:r>
          </w:p>
        </w:tc>
        <w:tc>
          <w:tcPr>
            <w:tcW w:w="18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20"/>
                <w:szCs w:val="20"/>
                <w:color w:val="auto"/>
              </w:rPr>
              <w:t>9,759,969</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2,895,500</w:t>
            </w:r>
          </w:p>
        </w:tc>
      </w:tr>
      <w:tr>
        <w:trPr>
          <w:trHeight w:val="250"/>
        </w:trPr>
        <w:tc>
          <w:tcPr>
            <w:tcW w:w="1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Jason Ryan</w:t>
            </w:r>
          </w:p>
        </w:tc>
        <w:tc>
          <w:tcPr>
            <w:tcW w:w="18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20"/>
                <w:szCs w:val="20"/>
                <w:color w:val="auto"/>
              </w:rPr>
              <w:t>9,049,659</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3,605,810</w:t>
            </w:r>
          </w:p>
        </w:tc>
      </w:tr>
    </w:tbl>
    <w:p>
      <w:pPr>
        <w:spacing w:after="0" w:line="288" w:lineRule="exact"/>
        <w:rPr>
          <w:sz w:val="20"/>
          <w:szCs w:val="20"/>
          <w:color w:val="auto"/>
        </w:rPr>
      </w:pPr>
    </w:p>
    <w:p>
      <w:pPr>
        <w:ind w:left="660" w:hanging="323"/>
        <w:spacing w:after="0" w:line="239" w:lineRule="auto"/>
        <w:rPr>
          <w:sz w:val="20"/>
          <w:szCs w:val="20"/>
          <w:color w:val="auto"/>
        </w:rPr>
      </w:pPr>
      <w:r>
        <w:rPr>
          <w:rFonts w:ascii="Arial" w:cs="Arial" w:eastAsia="Arial" w:hAnsi="Arial"/>
          <w:sz w:val="20"/>
          <w:szCs w:val="20"/>
          <w:b w:val="1"/>
          <w:bCs w:val="1"/>
          <w:color w:val="auto"/>
        </w:rPr>
        <w:t xml:space="preserve">(2) Proposal No. 2 </w:t>
      </w:r>
      <w:r>
        <w:rPr>
          <w:rFonts w:ascii="Arial" w:cs="Arial" w:eastAsia="Arial" w:hAnsi="Arial"/>
          <w:sz w:val="20"/>
          <w:szCs w:val="20"/>
          <w:color w:val="auto"/>
        </w:rPr>
        <w:t>—</w:t>
      </w:r>
      <w:r>
        <w:rPr>
          <w:rFonts w:ascii="Arial" w:cs="Arial" w:eastAsia="Arial" w:hAnsi="Arial"/>
          <w:sz w:val="20"/>
          <w:szCs w:val="20"/>
          <w:b w:val="1"/>
          <w:bCs w:val="1"/>
          <w:color w:val="auto"/>
        </w:rPr>
        <w:t xml:space="preserve"> The Auditor Ratification Proposal </w:t>
      </w:r>
      <w:r>
        <w:rPr>
          <w:rFonts w:ascii="Arial" w:cs="Arial" w:eastAsia="Arial" w:hAnsi="Arial"/>
          <w:sz w:val="20"/>
          <w:szCs w:val="20"/>
          <w:color w:val="auto"/>
        </w:rPr>
        <w:t>— To ratify the appointment of Ernst &amp; Young LLP as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registered public accounting firm for the fiscal year ending December 31,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860" w:type="dxa"/>
            <w:vAlign w:val="bottom"/>
            <w:tcBorders>
              <w:top w:val="single" w:sz="8" w:color="auto"/>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20"/>
                <w:szCs w:val="20"/>
                <w:b w:val="1"/>
                <w:bCs w:val="1"/>
                <w:color w:val="auto"/>
                <w:w w:val="88"/>
              </w:rPr>
              <w:t>Votes For</w:t>
            </w:r>
          </w:p>
        </w:tc>
        <w:tc>
          <w:tcPr>
            <w:tcW w:w="30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right w:val="single" w:sz="8" w:color="auto"/>
            </w:tcBorders>
          </w:tcPr>
          <w:p>
            <w:pPr>
              <w:jc w:val="center"/>
              <w:ind w:right="241"/>
              <w:spacing w:after="0"/>
              <w:rPr>
                <w:sz w:val="20"/>
                <w:szCs w:val="20"/>
                <w:color w:val="auto"/>
              </w:rPr>
            </w:pPr>
            <w:r>
              <w:rPr>
                <w:rFonts w:ascii="Arial" w:cs="Arial" w:eastAsia="Arial" w:hAnsi="Arial"/>
                <w:sz w:val="20"/>
                <w:szCs w:val="20"/>
                <w:b w:val="1"/>
                <w:bCs w:val="1"/>
                <w:color w:val="auto"/>
                <w:w w:val="86"/>
              </w:rPr>
              <w:t>Votes Against</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Abstentions</w:t>
            </w:r>
          </w:p>
        </w:tc>
        <w:tc>
          <w:tcPr>
            <w:tcW w:w="4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gridSpan w:val="2"/>
          </w:tcPr>
          <w:p>
            <w:pPr>
              <w:jc w:val="right"/>
              <w:ind w:right="500"/>
              <w:spacing w:after="0"/>
              <w:rPr>
                <w:sz w:val="20"/>
                <w:szCs w:val="20"/>
                <w:color w:val="auto"/>
              </w:rPr>
            </w:pPr>
            <w:r>
              <w:rPr>
                <w:rFonts w:ascii="Arial" w:cs="Arial" w:eastAsia="Arial" w:hAnsi="Arial"/>
                <w:sz w:val="20"/>
                <w:szCs w:val="20"/>
                <w:color w:val="auto"/>
              </w:rPr>
              <w:t>17,113,504</w:t>
            </w: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color w:val="auto"/>
              </w:rPr>
              <w:t>24,127</w:t>
            </w:r>
          </w:p>
        </w:tc>
        <w:tc>
          <w:tcPr>
            <w:tcW w:w="17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3,783</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3800" w:type="dxa"/>
            <w:vAlign w:val="bottom"/>
            <w:gridSpan w:val="7"/>
          </w:tcPr>
          <w:p>
            <w:pPr>
              <w:spacing w:after="0"/>
              <w:rPr>
                <w:sz w:val="20"/>
                <w:szCs w:val="20"/>
                <w:color w:val="auto"/>
              </w:rPr>
            </w:pPr>
            <w:r>
              <w:rPr>
                <w:rFonts w:ascii="Arial" w:cs="Arial" w:eastAsia="Arial" w:hAnsi="Arial"/>
                <w:sz w:val="20"/>
                <w:szCs w:val="20"/>
                <w:b w:val="1"/>
                <w:bCs w:val="1"/>
                <w:color w:val="auto"/>
                <w:w w:val="89"/>
              </w:rPr>
              <w:t>Item 9.01 Financial Statements and Exhibits.</w:t>
            </w: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00" w:type="dxa"/>
            <w:vAlign w:val="bottom"/>
            <w:gridSpan w:val="2"/>
          </w:tcPr>
          <w:p>
            <w:pPr>
              <w:spacing w:after="0"/>
              <w:rPr>
                <w:sz w:val="20"/>
                <w:szCs w:val="20"/>
                <w:color w:val="auto"/>
              </w:rPr>
            </w:pPr>
            <w:r>
              <w:rPr>
                <w:rFonts w:ascii="Arial" w:cs="Arial" w:eastAsia="Arial" w:hAnsi="Arial"/>
                <w:sz w:val="20"/>
                <w:szCs w:val="20"/>
                <w:b w:val="1"/>
                <w:bCs w:val="1"/>
                <w:color w:val="auto"/>
              </w:rPr>
              <w:t>(d) Exhibits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80" w:type="dxa"/>
            <w:vAlign w:val="bottom"/>
            <w:vMerge w:val="restart"/>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Exhibit No</w:t>
            </w:r>
          </w:p>
        </w:tc>
        <w:tc>
          <w:tcPr>
            <w:tcW w:w="280" w:type="dxa"/>
            <w:vAlign w:val="bottom"/>
            <w:vMerge w:val="restart"/>
          </w:tcPr>
          <w:p>
            <w:pPr>
              <w:spacing w:after="0"/>
              <w:rPr>
                <w:sz w:val="24"/>
                <w:szCs w:val="24"/>
                <w:color w:val="auto"/>
              </w:rPr>
            </w:pPr>
          </w:p>
        </w:tc>
        <w:tc>
          <w:tcPr>
            <w:tcW w:w="232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Description</w:t>
            </w: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80" w:type="dxa"/>
            <w:vAlign w:val="bottom"/>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320" w:type="dxa"/>
            <w:vAlign w:val="bottom"/>
            <w:gridSpan w:val="4"/>
            <w:vMerge w:val="continu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200" w:type="dxa"/>
            <w:vAlign w:val="bottom"/>
            <w:gridSpan w:val="2"/>
          </w:tcPr>
          <w:p>
            <w:pPr>
              <w:jc w:val="right"/>
              <w:ind w:right="221"/>
              <w:spacing w:after="0"/>
              <w:rPr>
                <w:sz w:val="20"/>
                <w:szCs w:val="20"/>
                <w:color w:val="auto"/>
              </w:rPr>
            </w:pPr>
            <w:r>
              <w:rPr>
                <w:rFonts w:ascii="Arial" w:cs="Arial" w:eastAsia="Arial" w:hAnsi="Arial"/>
                <w:sz w:val="20"/>
                <w:szCs w:val="20"/>
                <w:color w:val="auto"/>
              </w:rPr>
              <w:t>104</w:t>
            </w:r>
          </w:p>
        </w:tc>
        <w:tc>
          <w:tcPr>
            <w:tcW w:w="28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20"/>
                <w:szCs w:val="20"/>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r>
        <w:trPr>
          <w:trHeight w:val="975"/>
        </w:trPr>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46" w:lineRule="exact"/>
        <w:rPr>
          <w:sz w:val="20"/>
          <w:szCs w:val="20"/>
          <w:color w:val="auto"/>
        </w:rPr>
      </w:pPr>
    </w:p>
    <w:p>
      <w:pPr>
        <w:ind w:firstLine="324"/>
        <w:spacing w:after="0" w:line="30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7080" w:type="dxa"/>
            <w:vAlign w:val="bottom"/>
            <w:gridSpan w:val="2"/>
          </w:tcPr>
          <w:p>
            <w:pPr>
              <w:ind w:left="1500"/>
              <w:spacing w:after="0"/>
              <w:rPr>
                <w:sz w:val="20"/>
                <w:szCs w:val="20"/>
                <w:color w:val="auto"/>
              </w:rPr>
            </w:pPr>
            <w:r>
              <w:rPr>
                <w:rFonts w:ascii="Arial" w:cs="Arial" w:eastAsia="Arial" w:hAnsi="Arial"/>
                <w:sz w:val="20"/>
                <w:szCs w:val="20"/>
                <w:b w:val="1"/>
                <w:bCs w:val="1"/>
                <w:color w:val="auto"/>
              </w:rPr>
              <w:t>GeneDx Holdings Corp.</w:t>
            </w:r>
          </w:p>
        </w:tc>
      </w:tr>
      <w:tr>
        <w:trPr>
          <w:trHeight w:val="617"/>
        </w:trPr>
        <w:tc>
          <w:tcPr>
            <w:tcW w:w="620" w:type="dxa"/>
            <w:vAlign w:val="bottom"/>
          </w:tcPr>
          <w:p>
            <w:pPr>
              <w:spacing w:after="0"/>
              <w:rPr>
                <w:sz w:val="20"/>
                <w:szCs w:val="20"/>
                <w:color w:val="auto"/>
              </w:rPr>
            </w:pPr>
            <w:r>
              <w:rPr>
                <w:rFonts w:ascii="Arial" w:cs="Arial" w:eastAsia="Arial" w:hAnsi="Arial"/>
                <w:sz w:val="20"/>
                <w:szCs w:val="20"/>
                <w:color w:val="auto"/>
              </w:rPr>
              <w:t>Date:</w:t>
            </w:r>
          </w:p>
        </w:tc>
        <w:tc>
          <w:tcPr>
            <w:tcW w:w="2780" w:type="dxa"/>
            <w:vAlign w:val="bottom"/>
          </w:tcPr>
          <w:p>
            <w:pPr>
              <w:ind w:left="180"/>
              <w:spacing w:after="0"/>
              <w:rPr>
                <w:sz w:val="20"/>
                <w:szCs w:val="20"/>
                <w:color w:val="auto"/>
              </w:rPr>
            </w:pPr>
            <w:r>
              <w:rPr>
                <w:rFonts w:ascii="Arial" w:cs="Arial" w:eastAsia="Arial" w:hAnsi="Arial"/>
                <w:sz w:val="20"/>
                <w:szCs w:val="20"/>
                <w:color w:val="auto"/>
              </w:rPr>
              <w:t>June 20, 2023</w:t>
            </w:r>
          </w:p>
        </w:tc>
        <w:tc>
          <w:tcPr>
            <w:tcW w:w="2420" w:type="dxa"/>
            <w:vAlign w:val="bottom"/>
          </w:tcPr>
          <w:p>
            <w:pPr>
              <w:ind w:left="1500"/>
              <w:spacing w:after="0"/>
              <w:rPr>
                <w:sz w:val="20"/>
                <w:szCs w:val="20"/>
                <w:color w:val="auto"/>
              </w:rPr>
            </w:pPr>
            <w:r>
              <w:rPr>
                <w:rFonts w:ascii="Arial" w:cs="Arial" w:eastAsia="Arial" w:hAnsi="Arial"/>
                <w:sz w:val="20"/>
                <w:szCs w:val="20"/>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Katherine Stueland</w:t>
            </w:r>
          </w:p>
        </w:tc>
      </w:tr>
      <w:tr>
        <w:trPr>
          <w:trHeight w:val="244"/>
        </w:trPr>
        <w:tc>
          <w:tcPr>
            <w:tcW w:w="6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ind w:left="1500"/>
              <w:spacing w:after="0"/>
              <w:rPr>
                <w:sz w:val="20"/>
                <w:szCs w:val="20"/>
                <w:color w:val="auto"/>
              </w:rPr>
            </w:pPr>
            <w:r>
              <w:rPr>
                <w:rFonts w:ascii="Arial" w:cs="Arial" w:eastAsia="Arial" w:hAnsi="Arial"/>
                <w:sz w:val="20"/>
                <w:szCs w:val="20"/>
                <w:color w:val="auto"/>
              </w:rPr>
              <w:t>Name:</w:t>
            </w:r>
          </w:p>
        </w:tc>
        <w:tc>
          <w:tcPr>
            <w:tcW w:w="4660" w:type="dxa"/>
            <w:vAlign w:val="bottom"/>
          </w:tcPr>
          <w:p>
            <w:pPr>
              <w:ind w:left="20"/>
              <w:spacing w:after="0"/>
              <w:rPr>
                <w:sz w:val="20"/>
                <w:szCs w:val="20"/>
                <w:color w:val="auto"/>
              </w:rPr>
            </w:pPr>
            <w:r>
              <w:rPr>
                <w:rFonts w:ascii="Arial" w:cs="Arial" w:eastAsia="Arial" w:hAnsi="Arial"/>
                <w:sz w:val="20"/>
                <w:szCs w:val="20"/>
                <w:color w:val="auto"/>
              </w:rPr>
              <w:t>Katherine Stueland</w:t>
            </w:r>
          </w:p>
        </w:tc>
      </w:tr>
      <w:tr>
        <w:trPr>
          <w:trHeight w:val="253"/>
        </w:trPr>
        <w:tc>
          <w:tcPr>
            <w:tcW w:w="6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20" w:type="dxa"/>
            <w:vAlign w:val="bottom"/>
          </w:tcPr>
          <w:p>
            <w:pPr>
              <w:ind w:left="1500"/>
              <w:spacing w:after="0"/>
              <w:rPr>
                <w:sz w:val="20"/>
                <w:szCs w:val="20"/>
                <w:color w:val="auto"/>
              </w:rPr>
            </w:pPr>
            <w:r>
              <w:rPr>
                <w:rFonts w:ascii="Arial" w:cs="Arial" w:eastAsia="Arial" w:hAnsi="Arial"/>
                <w:sz w:val="20"/>
                <w:szCs w:val="20"/>
                <w:color w:val="auto"/>
              </w:rPr>
              <w:t>Title:</w:t>
            </w:r>
          </w:p>
        </w:tc>
        <w:tc>
          <w:tcPr>
            <w:tcW w:w="466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3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2023-06-20T16:28:22Z</dcterms:created>
  <dcterms:modified xsi:type="dcterms:W3CDTF">2023-06-20T16:28:22Z</dcterms:modified>
</cp:coreProperties>
</file>