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5715</wp:posOffset>
            </wp:positionV>
            <wp:extent cx="192849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229,657,978 Shares of Common Stock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7,236,667 Warrants to Purchase Shares of Common Stock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21,994,972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53975</wp:posOffset>
            </wp:positionV>
            <wp:extent cx="1380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94" w:lineRule="exact"/>
        <w:rPr>
          <w:sz w:val="24"/>
          <w:szCs w:val="24"/>
          <w:color w:val="auto"/>
        </w:rPr>
      </w:pPr>
    </w:p>
    <w:p>
      <w:pPr>
        <w:ind w:right="20"/>
        <w:spacing w:after="0" w:line="231" w:lineRule="auto"/>
        <w:rPr>
          <w:sz w:val="20"/>
          <w:szCs w:val="20"/>
          <w:color w:val="auto"/>
        </w:rPr>
      </w:pPr>
      <w:r>
        <w:rPr>
          <w:rFonts w:ascii="Arial" w:cs="Arial" w:eastAsia="Arial" w:hAnsi="Arial"/>
          <w:sz w:val="18"/>
          <w:szCs w:val="18"/>
          <w:color w:val="auto"/>
        </w:rPr>
        <w:t>This prospectus supplement supplements the prospectus dated March 28, 2022 (the “Prospectus”), which forms a part of our registration statement on Form S-1 (No. 333-258467). This prospectus supplement is being filed to update and supplement the information in the Prospectus with the information contained in our Form 8-K, filed with the Securities and Exchange Commission (the “SEC”) on April 27, 2022. Accordingly, we have attached the form 8-K to this prospectus supplement.</w:t>
      </w:r>
    </w:p>
    <w:p>
      <w:pPr>
        <w:spacing w:after="0" w:line="135" w:lineRule="exact"/>
        <w:rPr>
          <w:sz w:val="24"/>
          <w:szCs w:val="24"/>
          <w:color w:val="auto"/>
        </w:rPr>
      </w:pPr>
    </w:p>
    <w:p>
      <w:pPr>
        <w:ind w:right="20"/>
        <w:spacing w:after="0" w:line="268"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in the Prospectus).</w:t>
      </w:r>
    </w:p>
    <w:p>
      <w:pPr>
        <w:spacing w:after="0" w:line="132"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17" w:lineRule="exact"/>
        <w:rPr>
          <w:sz w:val="24"/>
          <w:szCs w:val="24"/>
          <w:color w:val="auto"/>
        </w:rPr>
      </w:pPr>
    </w:p>
    <w:p>
      <w:pPr>
        <w:ind w:right="580"/>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 “SMFR” and “SMFRW”, respectively. On April 26, 2022, the last reported sales price of our common stock was $2.18 per share and the last reported sales price of our public warrants was $0.52 per warrant.</w:t>
      </w:r>
    </w:p>
    <w:p>
      <w:pPr>
        <w:spacing w:after="0" w:line="130"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3"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9 of the Prospectus to read about factors you should consider before buying our securities.</w:t>
      </w:r>
    </w:p>
    <w:p>
      <w:pPr>
        <w:sectPr>
          <w:pgSz w:w="11900" w:h="16838" w:orient="portrait"/>
          <w:cols w:equalWidth="0" w:num="1">
            <w:col w:w="11240"/>
          </w:cols>
          <w:pgMar w:left="320" w:top="999" w:right="339" w:bottom="1440" w:gutter="0" w:footer="0" w:header="0"/>
        </w:sectPr>
      </w:pPr>
    </w:p>
    <w:bookmarkStart w:id="1" w:name="page2"/>
    <w:bookmarkEnd w:id="1"/>
    <w:p>
      <w:pPr>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The date of this prospectus supplement is April 27, 2022</w:t>
      </w:r>
    </w:p>
    <w:p>
      <w:pPr>
        <w:sectPr>
          <w:pgSz w:w="11900" w:h="16838" w:orient="portrait"/>
          <w:cols w:equalWidth="0" w:num="1">
            <w:col w:w="10440"/>
          </w:cols>
          <w:pgMar w:left="320" w:top="891" w:right="1139" w:bottom="1440" w:gutter="0" w:footer="0" w:header="0"/>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113665</wp:posOffset>
            </wp:positionV>
            <wp:extent cx="187706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70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3"/>
                <w:szCs w:val="23"/>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176"/>
        </w:trPr>
        <w:tc>
          <w:tcPr>
            <w:tcW w:w="42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5"/>
                <w:szCs w:val="15"/>
                <w:color w:val="auto"/>
              </w:rPr>
            </w:pPr>
          </w:p>
        </w:tc>
        <w:tc>
          <w:tcPr>
            <w:tcW w:w="4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0"/>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5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0"/>
          <w:szCs w:val="20"/>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940" w:firstLine="48"/>
        <w:spacing w:after="0" w:line="420"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10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SMFRW</w:t>
            </w:r>
          </w:p>
        </w:tc>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000" w:type="dxa"/>
            <w:vAlign w:val="bottom"/>
            <w:gridSpan w:val="2"/>
            <w:vMerge w:val="continue"/>
          </w:tcPr>
          <w:p>
            <w:pPr>
              <w:spacing w:after="0"/>
              <w:rPr>
                <w:sz w:val="11"/>
                <w:szCs w:val="11"/>
                <w:color w:val="auto"/>
              </w:rPr>
            </w:pPr>
          </w:p>
        </w:tc>
        <w:tc>
          <w:tcPr>
            <w:tcW w:w="4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ectPr>
          <w:pgSz w:w="11900" w:h="16838" w:orient="portrait"/>
          <w:cols w:equalWidth="0" w:num="1">
            <w:col w:w="11240"/>
          </w:cols>
          <w:pgMar w:left="320" w:top="1205" w:right="339" w:bottom="1440" w:gutter="0" w:footer="0" w:header="0"/>
        </w:sectPr>
      </w:pPr>
    </w:p>
    <w:bookmarkStart w:id="3" w:name="page4"/>
    <w:bookmarkEnd w:id="3"/>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080"/>
          </w:cols>
          <w:pgMar w:left="320" w:top="1003"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On April 27, 2022, Sema4 Holdings Corp. (“Sema4” or the “Company”) held its Special Meeting of Stockholders (the “Special Meeting”). At the Special Meeting, the Company’s stockholders (the “Stockholders”) considered and voted on the matters listed below. The proposals are described in detail in the Company’s Definitive Proxy Statement filed with the Securities and Exchange Commission on March 31, 2022 (the “Proxy Statement”).</w:t>
      </w:r>
    </w:p>
    <w:p>
      <w:pPr>
        <w:spacing w:after="0" w:line="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245,016,425 shares of Class A common stock, par value $0.0001 per share, of the Company (“Class A common stock”), issued and outstanding on March 22, 2022, the record date (the “Record Date”) for the Special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final voting results from the Special Meeting are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 1 – The Stock Consideration Issuance Proposal</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Stockholders approved, for purposes of complying with the applicable listing rules of the Nasdaq Stock Market (“Nasdaq”), the issuance of the Company’s Class A common stock in connection with the Company’s acquisition of GeneDx, Inc. (“GeneDx”) (the “Acquisition”), as contemplated by the Agreement and Plan of Merger and Reorganization dated January 14, 2022 (the “Merger Agreement”), by and among the Company, GeneDx, a wholly-owned subsidiary of OPKO Health, Inc. (“OPKO”), OPKO, Orion Merger Sub I, Inc. (“Merger Sub I”), a wholly-owned subsidiary of the Company, Orion Merger Sub II, LLC (“Merger Sub II” and together with Merger Sub I, “Merger Subs”), a wholly-owned subsidiary of the Company, and GeneDx Holding 2, Inc., which will own 100% of GeneDx at the Effective Time (as defined in the Proxy Statement). The votes were as follows: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178,157,301</w:t>
            </w:r>
          </w:p>
        </w:tc>
        <w:tc>
          <w:tcPr>
            <w:tcW w:w="280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104,365</w:t>
            </w:r>
          </w:p>
        </w:tc>
        <w:tc>
          <w:tcPr>
            <w:tcW w:w="28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154,244</w:t>
            </w:r>
          </w:p>
        </w:tc>
        <w:tc>
          <w:tcPr>
            <w:tcW w:w="28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16,922,114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 2 – The PIPE Investment Issuance Proposal</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Stockholders approved, for purposes of complying with the applicable listing rules of Nasdaq, the issuance of the Company’s Class A common stock in connection with the PIPE Investment, as defined and described in the Company’s Proxy Statement, and as contemplated by the Subscription Agreements, each dated as of January 14, 2022 with certain institutional investors (including affiliates of the Company and existing investors in Sema4). The votes were as follows: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178,106,518</w:t>
            </w:r>
          </w:p>
        </w:tc>
        <w:tc>
          <w:tcPr>
            <w:tcW w:w="280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153,719</w:t>
            </w:r>
          </w:p>
        </w:tc>
        <w:tc>
          <w:tcPr>
            <w:tcW w:w="28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155,673</w:t>
            </w:r>
          </w:p>
        </w:tc>
        <w:tc>
          <w:tcPr>
            <w:tcW w:w="28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16,922,114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 3 – The Special Designee Director Proposal</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Stockholders appointed two directors who will become directors of the Company effective upon the consummation of the Acquisition of GeneDx, to serve until the 2024 annual meeting of stockholders. The votes were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177,922,126</w:t>
            </w:r>
          </w:p>
        </w:tc>
        <w:tc>
          <w:tcPr>
            <w:tcW w:w="280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192,188</w:t>
            </w:r>
          </w:p>
        </w:tc>
        <w:tc>
          <w:tcPr>
            <w:tcW w:w="28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301,596</w:t>
            </w:r>
          </w:p>
        </w:tc>
        <w:tc>
          <w:tcPr>
            <w:tcW w:w="28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16,922,114</w:t>
            </w:r>
          </w:p>
        </w:tc>
      </w:tr>
    </w:tbl>
    <w:p>
      <w:pPr>
        <w:sectPr>
          <w:pgSz w:w="11900" w:h="16838" w:orient="portrait"/>
          <w:cols w:equalWidth="0" w:num="1">
            <w:col w:w="11260"/>
          </w:cols>
          <w:pgMar w:left="320" w:top="1417"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Proposal N. 4 – The Charter Amendment Proposal</w:t>
      </w:r>
    </w:p>
    <w:p>
      <w:pPr>
        <w:spacing w:after="0" w:line="17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Stockholders approved the amendment to the Company’s Third Amended and Restated Certificate of Incorporation increasing the number of authorized shares of Class A common stock from 380,000,000 to 1,000,000,000. The votes were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186,861,884</w:t>
            </w:r>
          </w:p>
        </w:tc>
        <w:tc>
          <w:tcPr>
            <w:tcW w:w="280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8,303,721</w:t>
            </w:r>
          </w:p>
        </w:tc>
        <w:tc>
          <w:tcPr>
            <w:tcW w:w="28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172,419</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 5 – The Class I Director Election Proposal</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Stockholders elected three Class I directors of the Company, each to serve a three-year term expiring at the Company’s 2025 annual meeting of stockholders and until such director’s successor is duly elected and qualified. The votes were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177,477,299</w:t>
            </w:r>
          </w:p>
        </w:tc>
        <w:tc>
          <w:tcPr>
            <w:tcW w:w="280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780,173</w:t>
            </w:r>
          </w:p>
        </w:tc>
        <w:tc>
          <w:tcPr>
            <w:tcW w:w="28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158,438</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 6 – The Auditor Ratification Proposal</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Stockholders approved the ratification of the appointment of Ernst &amp; Young LLP as the Company’s independent registered public accounting firm for the fiscal year ending December 31, 2022. The votes were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80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194,934,705</w:t>
            </w:r>
          </w:p>
        </w:tc>
        <w:tc>
          <w:tcPr>
            <w:tcW w:w="80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222,807</w:t>
            </w:r>
          </w:p>
        </w:tc>
        <w:tc>
          <w:tcPr>
            <w:tcW w:w="28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180,512</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r>
      <w:tr>
        <w:trPr>
          <w:trHeight w:val="46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w w:val="98"/>
              </w:rPr>
              <w:t>Proposal N. 7 – The Adjournment Proposal</w:t>
            </w: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4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Stockholders approved the adjournment of the Special Meeting to a later date or dates, if necessary, to permit further solicitation and votes of proxies in the event that there were insufficient votes for, or otherwise in connection with the of the proposals described herein and presented at the Special Meeting. The votes were as follows: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192,469,434</w:t>
            </w:r>
          </w:p>
        </w:tc>
        <w:tc>
          <w:tcPr>
            <w:tcW w:w="280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2,684,200</w:t>
            </w:r>
          </w:p>
        </w:tc>
        <w:tc>
          <w:tcPr>
            <w:tcW w:w="28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184,390</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60"/>
          </w:cols>
          <w:pgMar w:left="320" w:top="1417"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760" w:type="dxa"/>
            <w:vAlign w:val="bottom"/>
            <w:gridSpan w:val="2"/>
          </w:tcPr>
          <w:p>
            <w:pPr>
              <w:ind w:left="1640"/>
              <w:spacing w:after="0"/>
              <w:rPr>
                <w:sz w:val="20"/>
                <w:szCs w:val="20"/>
                <w:color w:val="auto"/>
              </w:rPr>
            </w:pPr>
            <w:r>
              <w:rPr>
                <w:rFonts w:ascii="Arial" w:cs="Arial" w:eastAsia="Arial" w:hAnsi="Arial"/>
                <w:sz w:val="18"/>
                <w:szCs w:val="18"/>
                <w:b w:val="1"/>
                <w:bCs w:val="1"/>
                <w:color w:val="auto"/>
              </w:rPr>
              <w:t>Sema4 Holdings Corp.</w:t>
            </w:r>
          </w:p>
        </w:tc>
      </w:tr>
      <w:tr>
        <w:trPr>
          <w:trHeight w:val="49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200"/>
              <w:spacing w:after="0"/>
              <w:rPr>
                <w:sz w:val="20"/>
                <w:szCs w:val="20"/>
                <w:color w:val="auto"/>
              </w:rPr>
            </w:pPr>
            <w:r>
              <w:rPr>
                <w:rFonts w:ascii="Arial" w:cs="Arial" w:eastAsia="Arial" w:hAnsi="Arial"/>
                <w:sz w:val="18"/>
                <w:szCs w:val="18"/>
                <w:color w:val="auto"/>
              </w:rPr>
              <w:t>April 27, 2022</w:t>
            </w:r>
          </w:p>
        </w:tc>
        <w:tc>
          <w:tcPr>
            <w:tcW w:w="2620" w:type="dxa"/>
            <w:vAlign w:val="bottom"/>
          </w:tcPr>
          <w:p>
            <w:pPr>
              <w:ind w:left="16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Schadt</w:t>
            </w:r>
          </w:p>
        </w:tc>
      </w:tr>
      <w:tr>
        <w:trPr>
          <w:trHeight w:val="222"/>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20" w:type="dxa"/>
            <w:vAlign w:val="bottom"/>
          </w:tcPr>
          <w:p>
            <w:pPr>
              <w:ind w:left="1640"/>
              <w:spacing w:after="0"/>
              <w:rPr>
                <w:sz w:val="20"/>
                <w:szCs w:val="20"/>
                <w:color w:val="auto"/>
              </w:rPr>
            </w:pPr>
            <w:r>
              <w:rPr>
                <w:rFonts w:ascii="Arial" w:cs="Arial" w:eastAsia="Arial" w:hAnsi="Arial"/>
                <w:sz w:val="18"/>
                <w:szCs w:val="18"/>
                <w:color w:val="auto"/>
              </w:rPr>
              <w:t>Name:</w:t>
            </w:r>
          </w:p>
        </w:tc>
        <w:tc>
          <w:tcPr>
            <w:tcW w:w="5140" w:type="dxa"/>
            <w:vAlign w:val="bottom"/>
          </w:tcPr>
          <w:p>
            <w:pPr>
              <w:ind w:left="20"/>
              <w:spacing w:after="0"/>
              <w:rPr>
                <w:sz w:val="20"/>
                <w:szCs w:val="20"/>
                <w:color w:val="auto"/>
              </w:rPr>
            </w:pPr>
            <w:r>
              <w:rPr>
                <w:rFonts w:ascii="Arial" w:cs="Arial" w:eastAsia="Arial" w:hAnsi="Arial"/>
                <w:sz w:val="18"/>
                <w:szCs w:val="18"/>
                <w:color w:val="auto"/>
              </w:rPr>
              <w:t>Eric Schadt</w:t>
            </w:r>
          </w:p>
        </w:tc>
      </w:tr>
      <w:tr>
        <w:trPr>
          <w:trHeight w:val="230"/>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20" w:type="dxa"/>
            <w:vAlign w:val="bottom"/>
          </w:tcPr>
          <w:p>
            <w:pPr>
              <w:ind w:left="1640"/>
              <w:spacing w:after="0"/>
              <w:rPr>
                <w:sz w:val="20"/>
                <w:szCs w:val="20"/>
                <w:color w:val="auto"/>
              </w:rPr>
            </w:pPr>
            <w:r>
              <w:rPr>
                <w:rFonts w:ascii="Arial" w:cs="Arial" w:eastAsia="Arial" w:hAnsi="Arial"/>
                <w:sz w:val="18"/>
                <w:szCs w:val="18"/>
                <w:color w:val="auto"/>
              </w:rPr>
              <w:t>Title:</w:t>
            </w:r>
          </w:p>
        </w:tc>
        <w:tc>
          <w:tcPr>
            <w:tcW w:w="5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2022-04-27T17:13:46Z</dcterms:created>
  <dcterms:modified xsi:type="dcterms:W3CDTF">2022-04-27T17:13:46Z</dcterms:modified>
</cp:coreProperties>
</file>