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August 26, 2022 (August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47625</wp:posOffset>
            </wp:positionV>
            <wp:extent cx="182562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001-39482</w:t>
            </w:r>
          </w:p>
        </w:tc>
        <w:tc>
          <w:tcPr>
            <w:tcW w:w="80" w:type="dxa"/>
            <w:vAlign w:val="bottom"/>
          </w:tcPr>
          <w:p>
            <w:pPr>
              <w:spacing w:after="0"/>
              <w:rPr>
                <w:sz w:val="21"/>
                <w:szCs w:val="21"/>
                <w:color w:val="auto"/>
              </w:rPr>
            </w:pPr>
          </w:p>
        </w:tc>
        <w:tc>
          <w:tcPr>
            <w:tcW w:w="428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85-1966622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5"/>
                <w:szCs w:val="15"/>
                <w:color w:val="auto"/>
              </w:rPr>
            </w:pPr>
          </w:p>
        </w:tc>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(Commission File Number)</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4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 Ludlow Street, North Tower, 8th Floor</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06902</w:t>
            </w:r>
          </w:p>
        </w:tc>
        <w:tc>
          <w:tcPr>
            <w:tcW w:w="0" w:type="dxa"/>
            <w:vAlign w:val="bottom"/>
          </w:tcPr>
          <w:p>
            <w:pPr>
              <w:spacing w:after="0"/>
              <w:rPr>
                <w:sz w:val="1"/>
                <w:szCs w:val="1"/>
                <w:color w:val="auto"/>
              </w:rPr>
            </w:pPr>
          </w:p>
        </w:tc>
      </w:tr>
      <w:tr>
        <w:trPr>
          <w:trHeight w:val="228"/>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298-6470</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940" w:firstLine="48"/>
        <w:spacing w:after="0" w:line="482"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80" w:type="dxa"/>
            <w:vAlign w:val="bottom"/>
            <w:tcBorders>
              <w:top w:val="single" w:sz="8" w:color="CCEEFF"/>
            </w:tcBorders>
            <w:shd w:val="clear" w:color="auto" w:fill="CCEEFF"/>
          </w:tcPr>
          <w:p>
            <w:pPr>
              <w:spacing w:after="0"/>
              <w:rPr>
                <w:sz w:val="19"/>
                <w:szCs w:val="19"/>
                <w:color w:val="auto"/>
              </w:rPr>
            </w:pPr>
          </w:p>
        </w:tc>
        <w:tc>
          <w:tcPr>
            <w:tcW w:w="4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75"/>
        </w:trPr>
        <w:tc>
          <w:tcPr>
            <w:tcW w:w="46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w:t>
            </w: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243"/>
        </w:trPr>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SMFRW</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23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ind w:right="20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93"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Departure of Directors or Certain Officers.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August 26, 2022, Sema4 Holdings Corp. (“Sema4 Holdings” or the “Company”) announced that its Interim Chief Financial Officer and Deputy Chief Financial Officer, Richard Miao, will leave the Company. Mr. Miao’s last day of employment will be September 2, 2022. Pursuant to his employment agreement with the Company, Mr. Miao will be entitled to receive accrued and unpaid compensation owed to him through the last day of his employment.</w:t>
      </w:r>
    </w:p>
    <w:p>
      <w:pPr>
        <w:spacing w:after="0" w:line="198"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Appointment of Certain Officers.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August 25, 2022, Kevin Feeley, the Company’s current Senior Vice President of Operations and Head of GeneDx, was appointed to also serve as the Chief Financial Officer, effective August 25, 2022. In this role, Mr. Feeley has assumed the responsibilities of Principal Financial Officer and Principal Accounting Officer.</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Feeley has served as Senior Vice President of Operations of the Company and Head of GeneDx since April 2022. Prior to joining the Company, Mr. Feeley held the position of Chief Financial Officer of BioReference Laboratories, Inc. and GeneDx, Inc. from January 2018 to April 2022. Mr. Feeley also spent more than a decade in the audit practice of KPMG LLP, working closely with large multinational pharmaceutical companies. He is a certified Public Accountant and holds a B.B.A. in Accounting from James Madison University.</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the appointment, the Company and Mr. Feeley entered into an amendment to Mr. Feeley’s employment agreement providing for (i) a salary increase for a total annual base salary of $450,000, (ii) target annual bonus of 50% of annual base salary, and (iii) a grant of stock options and restricted stock units with an aggregate grant-date value of $750,000. The foregoing description of the amendment to Mr. Feeley’s employment agreement does not purport to be complete and is qualified in its entirety by reference to the full text of such amendment, a copy of which is attached as Exhibit 10.1 and is incorporated herein by reference.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Mr. Feeley has no family relationships that require disclosure pursuant to Item 401(d) of Regulation S-K and has not been involved in any transactions that require disclosure pursuant to Item 404(a) of Regulation S-K. There is no arrangement or understanding between Mr. Feeley and any other person pursuant to which Mr. Feeley was named Chief Financial Officer of the Company.</w:t>
      </w:r>
    </w:p>
    <w:p>
      <w:pPr>
        <w:spacing w:after="0" w:line="18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August 26, 2022, Sema4 Holdings issued a press release announcing Mr. Feeley’s appointment as Chief Financial Officer, a copy of which is attached hereto as Exhibit 99.1 and is incorporated by reference into this Item 7.01. The information in this Item 7.01 and Exhibit 99.1 attached hereto shall not be deemed “filed” for purposes of Section 18 of the Exchange Act of 1934 (the “Exchange Act”), or otherwise subject to liabilities under that section, and shall not be deemed to be incorporated by reference into the filings of the Company under the Securities Act of 1933 or the Exchange Act, regardless of any general incorporation language in such filings.</w:t>
      </w:r>
    </w:p>
    <w:p>
      <w:pPr>
        <w:spacing w:after="0" w:line="20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May 2, 2022, the Company filed a Current Report on Form 8-K (the “GeneDx Acquisition Form 8-K”) to report, among other items, the completion of the acquisition (the “Acquisition”) of GeneDx, Inc. (“GeneDx”) pursuant to that certain Agreement and Plan of Merger, dated January 14, 2022 (as amended, the “Merger Agreement”), among the Company, GeneDx, OPKO Health, Inc. and the other parties thereto. The GeneDx Acquisition Form 8-K incorporated by reference the audited combined carve out balance sheets of GeneDx and subsidiary as of December 31, 2021 and 2020, the related audited combined carve out statements of comprehensive loss, equity and cash flows for each of the two years in the period ended December 31, 2021, and the related notes (the “GeneDx Annual Financial Statements”), and included the unaudited pro forma combined financial information of the Company giving effect to the Acquisition of GeneDx as of and for the year ended December 31, 2021, and the related notes (the “Company Annual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 w:name="page3"/>
    <w:bookmarkEnd w:id="2"/>
    <w:p>
      <w:pPr>
        <w:ind w:right="20"/>
        <w:spacing w:after="0" w:line="248" w:lineRule="auto"/>
        <w:rPr>
          <w:sz w:val="20"/>
          <w:szCs w:val="20"/>
          <w:color w:val="auto"/>
        </w:rPr>
      </w:pPr>
      <w:r>
        <w:rPr>
          <w:rFonts w:ascii="Times New Roman" w:cs="Times New Roman" w:eastAsia="Times New Roman" w:hAnsi="Times New Roman"/>
          <w:sz w:val="19"/>
          <w:szCs w:val="19"/>
          <w:color w:val="auto"/>
        </w:rPr>
        <w:t>In connection with the filing of Registration Statements on Form S-3 by the Company on the date hereof, this Current Report on Form 8-K is also being filed to provide updated combined carve out financial statements of GeneDx and subsidiary for the three months ended March 31, 2022 and 2021 (the “GeneDx Interim Financial Statements”) and updated unaudited pro forma combined financial information of the Company giving effect to the Acquisition for the six months ended June 30, 2022 (the “Company Interim Pro Forma Financial Information”), as required by Form S-3. These GeneDx Interim Financial Statements and the Company Interim Pro Forma Financial Information updates and supplements the GeneDx Annual Financial Statements and the Company Annual Pro Forma Financial Information. To the extent that information in Item 8.01 and Item 9.01(a) and (b) of this Current Report on Form 8-K and the related Exhibits 99.2 and 99.3 hereto differs from or updates information contained in the GeneDx Acquisition Form 8-K, the information in such items of and exhibits to this Current Report on Form 8-K shall supersede or supplement the information in the GeneDx Acquisition Form 8-K.</w:t>
      </w:r>
    </w:p>
    <w:p>
      <w:pPr>
        <w:spacing w:after="0" w:line="20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 and Exhibits.</w:t>
      </w:r>
    </w:p>
    <w:p>
      <w:pPr>
        <w:spacing w:after="0" w:line="166"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of Business Acquired.</w:t>
      </w:r>
    </w:p>
    <w:p>
      <w:pPr>
        <w:spacing w:after="0" w:line="256" w:lineRule="exact"/>
        <w:rPr>
          <w:rFonts w:ascii="Times New Roman" w:cs="Times New Roman" w:eastAsia="Times New Roman" w:hAnsi="Times New Roman"/>
          <w:sz w:val="20"/>
          <w:szCs w:val="20"/>
          <w:color w:val="auto"/>
        </w:rPr>
      </w:pPr>
    </w:p>
    <w:p>
      <w:pPr>
        <w:ind w:left="980" w:right="500" w:hanging="243"/>
        <w:spacing w:after="0" w:line="283" w:lineRule="auto"/>
        <w:tabs>
          <w:tab w:leader="none" w:pos="1215"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combined carve-out financial statements of GeneDx and Subsidiary for the three months ended March 31, 2022 and March 2021, are being filed as Exhibit 99.2 to this Current Report on Form 8-K and are included herein.</w:t>
      </w:r>
    </w:p>
    <w:p>
      <w:pPr>
        <w:spacing w:after="0" w:line="186"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Financial Information.</w:t>
      </w:r>
    </w:p>
    <w:p>
      <w:pPr>
        <w:spacing w:after="0" w:line="242" w:lineRule="exact"/>
        <w:rPr>
          <w:rFonts w:ascii="Times New Roman" w:cs="Times New Roman" w:eastAsia="Times New Roman" w:hAnsi="Times New Roman"/>
          <w:sz w:val="20"/>
          <w:szCs w:val="20"/>
          <w:color w:val="auto"/>
        </w:rPr>
      </w:pPr>
    </w:p>
    <w:p>
      <w:pPr>
        <w:ind w:left="980" w:right="360" w:hanging="243"/>
        <w:spacing w:after="0" w:line="283" w:lineRule="auto"/>
        <w:tabs>
          <w:tab w:leader="none" w:pos="1017"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unaudited pro forma combined financial information of the Company giving effect to the Acquisition for the six months ended June 30, 2022, is being filed as Exhibit 99.3 to this Current Report on Form 8-K and is included 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 Exhibits.</w:t>
            </w:r>
          </w:p>
        </w:tc>
        <w:tc>
          <w:tcPr>
            <w:tcW w:w="4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0" w:type="dxa"/>
            <w:vAlign w:val="bottom"/>
            <w:vMerge w:val="restart"/>
          </w:tcPr>
          <w:p>
            <w:pPr>
              <w:spacing w:after="0"/>
              <w:rPr>
                <w:sz w:val="22"/>
                <w:szCs w:val="22"/>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280" w:type="dxa"/>
            <w:vAlign w:val="bottom"/>
            <w:vMerge w:val="restart"/>
          </w:tcPr>
          <w:p>
            <w:pPr>
              <w:spacing w:after="0"/>
              <w:rPr>
                <w:sz w:val="22"/>
                <w:szCs w:val="22"/>
                <w:color w:val="auto"/>
              </w:rPr>
            </w:pPr>
          </w:p>
        </w:tc>
        <w:tc>
          <w:tcPr>
            <w:tcW w:w="4500" w:type="dxa"/>
            <w:vAlign w:val="bottom"/>
            <w:vMerge w:val="restart"/>
          </w:tcPr>
          <w:p>
            <w:pPr>
              <w:spacing w:after="0"/>
              <w:rPr>
                <w:sz w:val="22"/>
                <w:szCs w:val="22"/>
                <w:color w:val="auto"/>
              </w:rPr>
            </w:pPr>
          </w:p>
        </w:tc>
        <w:tc>
          <w:tcPr>
            <w:tcW w:w="550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34"/>
        </w:trPr>
        <w:tc>
          <w:tcPr>
            <w:tcW w:w="260" w:type="dxa"/>
            <w:vAlign w:val="bottom"/>
            <w:vMerge w:val="continue"/>
          </w:tcPr>
          <w:p>
            <w:pPr>
              <w:spacing w:after="0"/>
              <w:rPr>
                <w:sz w:val="2"/>
                <w:szCs w:val="2"/>
                <w:color w:val="auto"/>
              </w:rPr>
            </w:pPr>
          </w:p>
        </w:tc>
        <w:tc>
          <w:tcPr>
            <w:tcW w:w="700" w:type="dxa"/>
            <w:vAlign w:val="bottom"/>
            <w:gridSpan w:val="3"/>
          </w:tcPr>
          <w:p>
            <w:pPr>
              <w:spacing w:after="0"/>
              <w:rPr>
                <w:sz w:val="2"/>
                <w:szCs w:val="2"/>
                <w:color w:val="auto"/>
              </w:rPr>
            </w:pPr>
          </w:p>
        </w:tc>
        <w:tc>
          <w:tcPr>
            <w:tcW w:w="280" w:type="dxa"/>
            <w:vAlign w:val="bottom"/>
            <w:vMerge w:val="continue"/>
          </w:tcPr>
          <w:p>
            <w:pPr>
              <w:spacing w:after="0"/>
              <w:rPr>
                <w:sz w:val="2"/>
                <w:szCs w:val="2"/>
                <w:color w:val="auto"/>
              </w:rPr>
            </w:pPr>
          </w:p>
        </w:tc>
        <w:tc>
          <w:tcPr>
            <w:tcW w:w="4500" w:type="dxa"/>
            <w:vAlign w:val="bottom"/>
            <w:vMerge w:val="continue"/>
          </w:tcPr>
          <w:p>
            <w:pPr>
              <w:spacing w:after="0"/>
              <w:rPr>
                <w:sz w:val="2"/>
                <w:szCs w:val="2"/>
                <w:color w:val="auto"/>
              </w:rPr>
            </w:pPr>
          </w:p>
        </w:tc>
        <w:tc>
          <w:tcPr>
            <w:tcW w:w="550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3"/>
            <w:vMerge w:val="restart"/>
          </w:tcPr>
          <w:p>
            <w:pPr>
              <w:jc w:val="center"/>
              <w:ind w:left="201"/>
              <w:spacing w:after="0"/>
              <w:rPr>
                <w:sz w:val="20"/>
                <w:szCs w:val="20"/>
                <w:color w:val="auto"/>
              </w:rPr>
            </w:pPr>
            <w:r>
              <w:rPr>
                <w:rFonts w:ascii="Times New Roman" w:cs="Times New Roman" w:eastAsia="Times New Roman" w:hAnsi="Times New Roman"/>
                <w:sz w:val="20"/>
                <w:szCs w:val="20"/>
                <w:color w:val="auto"/>
                <w:w w:val="97"/>
              </w:rPr>
              <w:t>10.1</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Amendment No.1 to the Employment of Agreement of Kevin Feeley, dated August 25, 2022</w:t>
            </w:r>
          </w:p>
        </w:tc>
        <w:tc>
          <w:tcPr>
            <w:tcW w:w="0" w:type="dxa"/>
            <w:vAlign w:val="bottom"/>
          </w:tcPr>
          <w:p>
            <w:pPr>
              <w:spacing w:after="0"/>
              <w:rPr>
                <w:sz w:val="1"/>
                <w:szCs w:val="1"/>
                <w:color w:val="auto"/>
              </w:rPr>
            </w:pPr>
          </w:p>
        </w:tc>
      </w:tr>
      <w:tr>
        <w:trPr>
          <w:trHeight w:val="20"/>
        </w:trPr>
        <w:tc>
          <w:tcPr>
            <w:tcW w:w="920" w:type="dxa"/>
            <w:vAlign w:val="bottom"/>
            <w:gridSpan w:val="3"/>
            <w:vMerge w:val="restart"/>
          </w:tcPr>
          <w:p>
            <w:pPr>
              <w:jc w:val="center"/>
              <w:ind w:left="201"/>
              <w:spacing w:after="0"/>
              <w:rPr>
                <w:sz w:val="20"/>
                <w:szCs w:val="20"/>
                <w:color w:val="auto"/>
              </w:rPr>
            </w:pPr>
            <w:r>
              <w:rPr>
                <w:rFonts w:ascii="Times New Roman" w:cs="Times New Roman" w:eastAsia="Times New Roman" w:hAnsi="Times New Roman"/>
                <w:sz w:val="20"/>
                <w:szCs w:val="20"/>
                <w:color w:val="auto"/>
                <w:w w:val="97"/>
              </w:rPr>
              <w:t>99.1</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20" w:type="dxa"/>
            <w:vAlign w:val="bottom"/>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Press Release, dated August 26, 2022, regarding the Registrant's Appointment of its New Chief Financial Officer</w:t>
            </w:r>
          </w:p>
        </w:tc>
        <w:tc>
          <w:tcPr>
            <w:tcW w:w="10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7"/>
              </w:rPr>
              <w:t>99.2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Combined Carve-out Financial Statements of GeneDx and Subsidiary for the Three Months Ended March 31, 2022</w:t>
            </w:r>
          </w:p>
        </w:tc>
        <w:tc>
          <w:tcPr>
            <w:tcW w:w="0" w:type="dxa"/>
            <w:vAlign w:val="bottom"/>
          </w:tcPr>
          <w:p>
            <w:pPr>
              <w:spacing w:after="0"/>
              <w:rPr>
                <w:sz w:val="1"/>
                <w:szCs w:val="1"/>
                <w:color w:val="auto"/>
              </w:rPr>
            </w:pPr>
          </w:p>
        </w:tc>
      </w:tr>
      <w:tr>
        <w:trPr>
          <w:trHeight w:val="304"/>
        </w:trPr>
        <w:tc>
          <w:tcPr>
            <w:tcW w:w="92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7"/>
              </w:rPr>
              <w:t>99.3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Unaudited Pro Forma Combined Financial Information of the Company for the Six Months ended June 30, 2022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9"/>
              </w:rPr>
              <w:t>104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1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973"/>
        </w:trPr>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tbl>
      <w:tblPr>
        <w:tblLayout w:type="fixed"/>
        <w:tblInd w:w="720" w:type="dxa"/>
        <w:tblCellMar>
          <w:top w:w="0" w:type="dxa"/>
          <w:left w:w="0" w:type="dxa"/>
          <w:bottom w:w="0" w:type="dxa"/>
          <w:right w:w="0" w:type="dxa"/>
        </w:tblCellMar>
      </w:tblPr>
      <w:tr>
        <w:trPr>
          <w:trHeight w:val="262"/>
        </w:trPr>
        <w:tc>
          <w:tcPr>
            <w:tcW w:w="3200" w:type="dxa"/>
            <w:vAlign w:val="bottom"/>
          </w:tcPr>
          <w:p>
            <w:pPr>
              <w:spacing w:after="0"/>
              <w:rPr>
                <w:sz w:val="22"/>
                <w:szCs w:val="22"/>
                <w:color w:val="auto"/>
              </w:rPr>
            </w:pPr>
          </w:p>
        </w:tc>
        <w:tc>
          <w:tcPr>
            <w:tcW w:w="7320" w:type="dxa"/>
            <w:vAlign w:val="bottom"/>
            <w:gridSpan w:val="2"/>
          </w:tcPr>
          <w:p>
            <w:pPr>
              <w:ind w:left="142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528"/>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Date: August 26, 2022</w:t>
            </w:r>
          </w:p>
        </w:tc>
        <w:tc>
          <w:tcPr>
            <w:tcW w:w="242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47"/>
        </w:trPr>
        <w:tc>
          <w:tcPr>
            <w:tcW w:w="3200" w:type="dxa"/>
            <w:vAlign w:val="bottom"/>
          </w:tcPr>
          <w:p>
            <w:pPr>
              <w:spacing w:after="0"/>
              <w:rPr>
                <w:sz w:val="21"/>
                <w:szCs w:val="21"/>
                <w:color w:val="auto"/>
              </w:rPr>
            </w:pPr>
          </w:p>
        </w:tc>
        <w:tc>
          <w:tcPr>
            <w:tcW w:w="242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Name:</w:t>
            </w: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3200" w:type="dxa"/>
            <w:vAlign w:val="bottom"/>
          </w:tcPr>
          <w:p>
            <w:pPr>
              <w:spacing w:after="0"/>
              <w:rPr>
                <w:sz w:val="22"/>
                <w:szCs w:val="22"/>
                <w:color w:val="auto"/>
              </w:rPr>
            </w:pPr>
          </w:p>
        </w:tc>
        <w:tc>
          <w:tcPr>
            <w:tcW w:w="242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Title:</w:t>
            </w: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140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AMENDMENT NO. 1</w:t>
      </w:r>
    </w:p>
    <w:p>
      <w:pPr>
        <w:ind w:left="5480"/>
        <w:spacing w:after="0" w:line="197" w:lineRule="auto"/>
        <w:rPr>
          <w:sz w:val="20"/>
          <w:szCs w:val="20"/>
          <w:color w:val="auto"/>
        </w:rPr>
      </w:pPr>
      <w:r>
        <w:rPr>
          <w:rFonts w:ascii="Times New Roman" w:cs="Times New Roman" w:eastAsia="Times New Roman" w:hAnsi="Times New Roman"/>
          <w:sz w:val="20"/>
          <w:szCs w:val="20"/>
          <w:b w:val="1"/>
          <w:bCs w:val="1"/>
          <w:color w:val="auto"/>
        </w:rPr>
        <w:t>TO</w:t>
      </w:r>
    </w:p>
    <w:p>
      <w:pPr>
        <w:ind w:left="4220"/>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Amendment No. 1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dated as of August 25, 2022, amends that certain Employment Agreement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January 14, 2022, by and between Sema4 Holdings Corp., a Delaware corporation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and Kevin Feeley (the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All capitalized terms not defined herein shall have the meanings assigned to them in the Agreement.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On August 25, 2022, the Executive was appointed as the Corporation’s Chief Financial Officer. In connection with such appointment, the Corporation and the Executive hereby agree to amend the Agreement as follows:</w:t>
      </w:r>
    </w:p>
    <w:p>
      <w:pPr>
        <w:spacing w:after="0" w:line="148" w:lineRule="exact"/>
        <w:rPr>
          <w:sz w:val="20"/>
          <w:szCs w:val="20"/>
          <w:color w:val="auto"/>
        </w:rPr>
      </w:pPr>
    </w:p>
    <w:p>
      <w:pPr>
        <w:ind w:firstLine="656"/>
        <w:spacing w:after="0"/>
        <w:tabs>
          <w:tab w:leader="none" w:pos="104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Executive’s current duties as SVP Operations, Sema4 and Head of GeneDx, the Executive shall perform the duties commensurate with those of the Corporation’s Chief Financial Officer.</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03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August 29, 2022, the Corporation shall pay the Executive a Base Salary at a rate equal to $450,000 per annum, and the Executive’s target Performance Bonus shall equal 50% of his Base Salary.</w:t>
      </w:r>
    </w:p>
    <w:p>
      <w:pPr>
        <w:spacing w:after="0" w:line="160" w:lineRule="exact"/>
        <w:rPr>
          <w:rFonts w:ascii="Times New Roman" w:cs="Times New Roman" w:eastAsia="Times New Roman" w:hAnsi="Times New Roman"/>
          <w:sz w:val="20"/>
          <w:szCs w:val="20"/>
          <w:color w:val="auto"/>
        </w:rPr>
      </w:pPr>
    </w:p>
    <w:p>
      <w:pPr>
        <w:jc w:val="both"/>
        <w:ind w:firstLine="656"/>
        <w:spacing w:after="0" w:line="212" w:lineRule="auto"/>
        <w:tabs>
          <w:tab w:leader="none" w:pos="10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following the date hereof and subject to the approval of the Compensation Committee of the Board, the Corporation shall grant the Executive an option to purchase a number of shares of Common Stock and a number of restricted stock units under the Incentive Plan having an aggregate grant-date value equal to $750,000 (the “</w:t>
      </w:r>
      <w:r>
        <w:rPr>
          <w:rFonts w:ascii="Times New Roman" w:cs="Times New Roman" w:eastAsia="Times New Roman" w:hAnsi="Times New Roman"/>
          <w:sz w:val="20"/>
          <w:szCs w:val="20"/>
          <w:b w:val="1"/>
          <w:bCs w:val="1"/>
          <w:i w:val="1"/>
          <w:iCs w:val="1"/>
          <w:color w:val="auto"/>
        </w:rPr>
        <w:t>New Equity Awards</w:t>
      </w:r>
      <w:r>
        <w:rPr>
          <w:rFonts w:ascii="Times New Roman" w:cs="Times New Roman" w:eastAsia="Times New Roman" w:hAnsi="Times New Roman"/>
          <w:sz w:val="20"/>
          <w:szCs w:val="20"/>
          <w:color w:val="auto"/>
        </w:rPr>
        <w:t xml:space="preserve">”), with 50% of such aggregate grant-date value represented by stock options and the remaining 50% of such aggregate grant-date value represented by restrictive stock units, in each case with such grant-date value determined in accordance with the Corporation’s customary practices. The terms of the New Equity Awards shall be governed in all respects by the terms of the notice of grant and award agreement to be entered into in connection with such grant and the terms and conditions of the Incentive Plan, except as otherwise expressly set forth in the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the exercise price per share of Common Stock underlying the stock options shall be equal to the closing price of one share of Common Stock on the date of grant, and (2) the New Equity Awards shall vest and become exercisable, as applicable, on a quarterly basis through the fourth anniversary of the grant date, subject to the Executive’s continued service with the Corporation on each applicable vesting date.</w:t>
      </w:r>
    </w:p>
    <w:p>
      <w:pPr>
        <w:spacing w:after="0" w:line="155" w:lineRule="exact"/>
        <w:rPr>
          <w:rFonts w:ascii="Times New Roman" w:cs="Times New Roman" w:eastAsia="Times New Roman" w:hAnsi="Times New Roman"/>
          <w:sz w:val="20"/>
          <w:szCs w:val="20"/>
          <w:color w:val="auto"/>
        </w:rPr>
      </w:pPr>
    </w:p>
    <w:p>
      <w:pPr>
        <w:ind w:firstLine="656"/>
        <w:spacing w:after="0"/>
        <w:tabs>
          <w:tab w:leader="none" w:pos="102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the Agreement, a material diminution in the Executive’s authority or responsibility as SVP Operations, Sema4 and Head of GeneDx shall not constitute Good Reason.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otherwise set forth herein the Agreement will remain unmodified and in full force and effect.</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IN WITNESS WHEREOF, the parties hereto have duly executed this Amendment as of the first day written above.</w:t>
      </w: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THE CORPORATION:</w:t>
      </w:r>
    </w:p>
    <w:p>
      <w:pPr>
        <w:spacing w:after="0" w:line="2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Sema4 Holdings Corp.</w:t>
      </w:r>
    </w:p>
    <w:p>
      <w:pPr>
        <w:spacing w:after="0" w:line="297" w:lineRule="exact"/>
        <w:rPr>
          <w:sz w:val="20"/>
          <w:szCs w:val="20"/>
          <w:color w:val="auto"/>
        </w:rPr>
      </w:pPr>
    </w:p>
    <w:tbl>
      <w:tblPr>
        <w:tblLayout w:type="fixed"/>
        <w:tblInd w:w="440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4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 and member of the Board</w:t>
            </w:r>
          </w:p>
        </w:tc>
      </w:tr>
    </w:tbl>
    <w:p>
      <w:pPr>
        <w:spacing w:after="0" w:line="200" w:lineRule="exact"/>
        <w:rPr>
          <w:sz w:val="20"/>
          <w:szCs w:val="20"/>
          <w:color w:val="auto"/>
        </w:rPr>
      </w:pPr>
    </w:p>
    <w:p>
      <w:pPr>
        <w:spacing w:after="0" w:line="3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THE EXECUTIVE</w:t>
      </w:r>
    </w:p>
    <w:p>
      <w:pPr>
        <w:spacing w:after="0" w:line="2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22860</wp:posOffset>
            </wp:positionV>
            <wp:extent cx="3883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Kevin Feeley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Amendment No. 1 to Kevin Feeley Employment Agreement</w:t>
      </w:r>
      <w:r>
        <w:rPr>
          <w:rFonts w:ascii="Times New Roman" w:cs="Times New Roman" w:eastAsia="Times New Roman" w:hAnsi="Times New Roman"/>
          <w:sz w:val="20"/>
          <w:szCs w:val="20"/>
          <w:color w:val="auto"/>
        </w:rPr>
        <w:t>]</w:t>
      </w:r>
    </w:p>
    <w:p>
      <w:pPr>
        <w:sectPr>
          <w:pgSz w:w="11900" w:h="16838" w:orient="portrait"/>
          <w:cols w:equalWidth="0" w:num="1">
            <w:col w:w="10500"/>
          </w:cols>
          <w:pgMar w:left="1060" w:top="139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3175</wp:posOffset>
            </wp:positionV>
            <wp:extent cx="2194560" cy="677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60"/>
        <w:spacing w:after="0" w:line="275" w:lineRule="auto"/>
        <w:rPr>
          <w:sz w:val="20"/>
          <w:szCs w:val="20"/>
          <w:color w:val="auto"/>
        </w:rPr>
      </w:pPr>
      <w:r>
        <w:rPr>
          <w:rFonts w:ascii="Arial" w:cs="Arial" w:eastAsia="Arial" w:hAnsi="Arial"/>
          <w:sz w:val="25"/>
          <w:szCs w:val="25"/>
          <w:b w:val="1"/>
          <w:bCs w:val="1"/>
          <w:color w:val="auto"/>
        </w:rPr>
        <w:t>Sema4 Appoints Healthcare and Diagnostics Industry Veteran Kevin Feeley as Chief Financial Officer</w:t>
      </w:r>
    </w:p>
    <w:p>
      <w:pPr>
        <w:spacing w:after="0" w:line="149" w:lineRule="exact"/>
        <w:rPr>
          <w:sz w:val="20"/>
          <w:szCs w:val="20"/>
          <w:color w:val="auto"/>
        </w:rPr>
      </w:pPr>
    </w:p>
    <w:p>
      <w:pPr>
        <w:jc w:val="center"/>
        <w:ind w:right="340"/>
        <w:spacing w:after="0" w:line="246" w:lineRule="auto"/>
        <w:rPr>
          <w:sz w:val="20"/>
          <w:szCs w:val="20"/>
          <w:color w:val="auto"/>
        </w:rPr>
      </w:pPr>
      <w:r>
        <w:rPr>
          <w:rFonts w:ascii="Arial" w:cs="Arial" w:eastAsia="Arial" w:hAnsi="Arial"/>
          <w:sz w:val="22"/>
          <w:szCs w:val="22"/>
          <w:i w:val="1"/>
          <w:iCs w:val="1"/>
          <w:color w:val="auto"/>
        </w:rPr>
        <w:t>Mr. Feeley, former CFO of GeneDx and BioReference Laboratories, will focus on further building profitable growth, efficiency, and scale at Sema4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STAMFORD, CT — August 26, 2022 — </w:t>
      </w:r>
      <w:r>
        <w:rPr>
          <w:rFonts w:ascii="Arial" w:cs="Arial" w:eastAsia="Arial" w:hAnsi="Arial"/>
          <w:sz w:val="18"/>
          <w:szCs w:val="18"/>
          <w:u w:val="single" w:color="auto"/>
          <w:color w:val="0000FF"/>
        </w:rPr>
        <w:t>Sema4</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SMFR), a health insights company, today announced that the Company has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appointed </w:t>
      </w:r>
      <w:r>
        <w:rPr>
          <w:rFonts w:ascii="Arial" w:cs="Arial" w:eastAsia="Arial" w:hAnsi="Arial"/>
          <w:sz w:val="17"/>
          <w:szCs w:val="17"/>
          <w:u w:val="single" w:color="auto"/>
          <w:color w:val="0563C1"/>
        </w:rPr>
        <w:t>Kevin Feeley</w:t>
      </w:r>
      <w:r>
        <w:rPr>
          <w:rFonts w:ascii="Arial" w:cs="Arial" w:eastAsia="Arial" w:hAnsi="Arial"/>
          <w:sz w:val="17"/>
          <w:szCs w:val="17"/>
          <w:color w:val="auto"/>
        </w:rPr>
        <w:t xml:space="preserve"> as Chief Financial Officer (CFO), completing its previously announced search for the CFO position. Mr. Feeley, who has held the roles of Senior Vice President of Operations and Head of GeneDx at Sema4 since May 2022, will also continue to lead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key operational aspects of the Company.</w:t>
      </w:r>
    </w:p>
    <w:p>
      <w:pPr>
        <w:spacing w:after="0" w:line="221"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“As we shared during our recent earnings call, our new management team is committed to profitable growth, efficiency, and scale. Kevin’s broad industry experience and successful financial leadership of GeneDx during an accelerated phase of commercial growth</w:t>
      </w:r>
    </w:p>
    <w:p>
      <w:pPr>
        <w:spacing w:after="0" w:line="235" w:lineRule="auto"/>
        <w:rPr>
          <w:sz w:val="20"/>
          <w:szCs w:val="20"/>
          <w:color w:val="auto"/>
        </w:rPr>
      </w:pPr>
      <w:r>
        <w:rPr>
          <w:rFonts w:ascii="Arial" w:cs="Arial" w:eastAsia="Arial" w:hAnsi="Arial"/>
          <w:sz w:val="18"/>
          <w:szCs w:val="18"/>
          <w:color w:val="auto"/>
        </w:rPr>
        <w:t xml:space="preserve">make him an ideal fit to serve as our CFO,” said </w:t>
      </w:r>
      <w:r>
        <w:rPr>
          <w:rFonts w:ascii="Arial" w:cs="Arial" w:eastAsia="Arial" w:hAnsi="Arial"/>
          <w:sz w:val="18"/>
          <w:szCs w:val="18"/>
          <w:u w:val="single" w:color="auto"/>
          <w:color w:val="0563C1"/>
        </w:rPr>
        <w:t>Katherine Stueland</w:t>
      </w:r>
      <w:r>
        <w:rPr>
          <w:rFonts w:ascii="Arial" w:cs="Arial" w:eastAsia="Arial" w:hAnsi="Arial"/>
          <w:sz w:val="18"/>
          <w:szCs w:val="18"/>
          <w:color w:val="auto"/>
        </w:rPr>
        <w:t>, Chief Executive Officer of Sema4. “I am confident that we have</w:t>
      </w:r>
    </w:p>
    <w:p>
      <w:pPr>
        <w:ind w:right="600"/>
        <w:spacing w:after="0" w:line="237" w:lineRule="auto"/>
        <w:rPr>
          <w:sz w:val="20"/>
          <w:szCs w:val="20"/>
          <w:color w:val="auto"/>
        </w:rPr>
      </w:pPr>
      <w:r>
        <w:rPr>
          <w:rFonts w:ascii="Arial" w:cs="Arial" w:eastAsia="Arial" w:hAnsi="Arial"/>
          <w:sz w:val="18"/>
          <w:szCs w:val="18"/>
          <w:color w:val="auto"/>
        </w:rPr>
        <w:t>found the right leader to drive us toward a future of profitable and meaningful growth balanced with increased efficiency, ultimately returning value to our shareholders.”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Mr. Feeley has more than 20 years of finance and accounting leadership experience in the healthcare, pharmaceutical, and diagnostics</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sectors, including deep expertise in revenue cycle management. Prior to joining Sema4, Mr. Feeley held the position of CFO of BioReference Laboratories and GeneDx for five years. He also spent more than a decade in the audit practice of KPMG LLP, working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closely with large multinational pharmaceutical companies.</w:t>
      </w:r>
    </w:p>
    <w:p>
      <w:pPr>
        <w:spacing w:after="0" w:line="22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“Sema4 is going through a significant evolution as we focus on our strengths and implement restructuring to advance our commercial strategy and drive profitable growth,” said Mr. Feeley. “I look forward to leading the finance team and working with the entire Sema4 team</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to develop a scalable, efficient organization. In doing so, we will be well positioned to accelerate the use of genomics and leverage clinical data to improve family health.”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Sema4</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models of human health and defining optimal, individualized health trajectories. Centrellis™, our innovative health intelligence platform, is enabling us to generate a more complete understanding of disease and wellness and to provide science-driven solutions to the</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most pressing medical needs. Sema4 believes that patients should be treated as partners, and that data should be shared for the benefit of all.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00FF"/>
        </w:rPr>
        <w:t>sema4.com</w:t>
      </w:r>
      <w:r>
        <w:rPr>
          <w:rFonts w:ascii="Arial" w:cs="Arial" w:eastAsia="Arial" w:hAnsi="Arial"/>
          <w:sz w:val="18"/>
          <w:szCs w:val="18"/>
          <w:color w:val="auto"/>
        </w:rPr>
        <w:t xml:space="preserve"> and connect with Sema4 on </w:t>
      </w:r>
      <w:r>
        <w:rPr>
          <w:rFonts w:ascii="Arial" w:cs="Arial" w:eastAsia="Arial" w:hAnsi="Arial"/>
          <w:sz w:val="18"/>
          <w:szCs w:val="18"/>
          <w:u w:val="single" w:color="auto"/>
          <w:color w:val="0000FF"/>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Facebook</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YouTube</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 Kaufman</w:t>
      </w:r>
    </w:p>
    <w:p>
      <w:pPr>
        <w:spacing w:after="0"/>
        <w:rPr>
          <w:sz w:val="20"/>
          <w:szCs w:val="20"/>
          <w:color w:val="auto"/>
        </w:rPr>
      </w:pPr>
      <w:r>
        <w:rPr>
          <w:rFonts w:ascii="Arial" w:cs="Arial" w:eastAsia="Arial" w:hAnsi="Arial"/>
          <w:sz w:val="18"/>
          <w:szCs w:val="18"/>
          <w:u w:val="single" w:color="auto"/>
          <w:color w:val="0563C1"/>
        </w:rPr>
        <w:t>investors@sema4.com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Radley Moss</w:t>
      </w:r>
    </w:p>
    <w:p>
      <w:pPr>
        <w:spacing w:after="0"/>
        <w:rPr>
          <w:sz w:val="20"/>
          <w:szCs w:val="20"/>
          <w:color w:val="auto"/>
        </w:rPr>
      </w:pPr>
      <w:r>
        <w:rPr>
          <w:rFonts w:ascii="Arial" w:cs="Arial" w:eastAsia="Arial" w:hAnsi="Arial"/>
          <w:sz w:val="18"/>
          <w:szCs w:val="18"/>
          <w:u w:val="single" w:color="auto"/>
          <w:color w:val="0563C1"/>
        </w:rPr>
        <w:t>radley.moss@sema4.com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Page 1 of 1</w:t>
      </w:r>
    </w:p>
    <w:p>
      <w:pPr>
        <w:sectPr>
          <w:pgSz w:w="11900" w:h="16838" w:orient="portrait"/>
          <w:cols w:equalWidth="0" w:num="1">
            <w:col w:w="10900"/>
          </w:cols>
          <w:pgMar w:left="660" w:top="1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UNAUDITED COMBINED CARVE-OUT FINANCIAL STATEMENTS OF</w:t>
      </w:r>
    </w:p>
    <w:p>
      <w:pPr>
        <w:spacing w:after="0" w:line="1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1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quarterly periods ended March 31, 2022 and 2021</w:t>
      </w:r>
    </w:p>
    <w:p>
      <w:pPr>
        <w:sectPr>
          <w:pgSz w:w="11900" w:h="16838" w:orient="portrait"/>
          <w:cols w:equalWidth="0" w:num="1">
            <w:col w:w="10120"/>
          </w:cols>
          <w:pgMar w:left="1440" w:top="117" w:right="339" w:bottom="1440" w:gutter="0" w:footer="0" w:header="0"/>
        </w:sectPr>
      </w:pPr>
    </w:p>
    <w:bookmarkStart w:id="8" w:name="page9"/>
    <w:bookmarkEnd w:id="8"/>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Combined Carve Out Financial Statements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Periods Ended March 31,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Combined Carve Out Financial Statements (Unaudited)</w:t>
            </w: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6"/>
            <w:vMerge w:val="continue"/>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9"/>
              </w:rPr>
              <w:t>Combined Carve Out Balance Sheets (Unaudited)</w:t>
            </w:r>
          </w:p>
        </w:tc>
        <w:tc>
          <w:tcPr>
            <w:tcW w:w="6980" w:type="dxa"/>
            <w:vAlign w:val="bottom"/>
            <w:gridSpan w:val="5"/>
          </w:tcPr>
          <w:p>
            <w:pPr>
              <w:spacing w:after="0"/>
              <w:rPr>
                <w:sz w:val="17"/>
                <w:szCs w:val="17"/>
                <w:color w:val="auto"/>
              </w:rPr>
            </w:pPr>
          </w:p>
        </w:tc>
        <w:tc>
          <w:tcPr>
            <w:tcW w:w="64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Combined Carve Out Statements of Comprehensive Loss (Unaudited)</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Combined Carve Out Statements of Equity (Unaudited)</w:t>
            </w:r>
          </w:p>
        </w:tc>
        <w:tc>
          <w:tcPr>
            <w:tcW w:w="1020" w:type="dxa"/>
            <w:vAlign w:val="bottom"/>
            <w:gridSpan w:val="3"/>
          </w:tcPr>
          <w:p>
            <w:pPr>
              <w:spacing w:after="0"/>
              <w:rPr>
                <w:sz w:val="18"/>
                <w:szCs w:val="18"/>
                <w:color w:val="auto"/>
              </w:rPr>
            </w:pPr>
          </w:p>
        </w:tc>
        <w:tc>
          <w:tcPr>
            <w:tcW w:w="55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40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Combined Carve Out Statements of Cash Flows (Unaudited)</w:t>
            </w:r>
          </w:p>
        </w:tc>
        <w:tc>
          <w:tcPr>
            <w:tcW w:w="6200" w:type="dxa"/>
            <w:vAlign w:val="bottom"/>
            <w:gridSpan w:val="3"/>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Combined Carve out Financial Statements (Unaudited)</w:t>
            </w:r>
          </w:p>
        </w:tc>
        <w:tc>
          <w:tcPr>
            <w:tcW w:w="5960" w:type="dxa"/>
            <w:vAlign w:val="bottom"/>
            <w:gridSpan w:val="2"/>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40" w:top="1440" w:right="339" w:bottom="1440" w:gutter="0" w:footer="0" w:header="0"/>
        </w:sectPr>
      </w:pPr>
    </w:p>
    <w:bookmarkStart w:id="9" w:name="page10"/>
    <w:bookmarkEnd w:id="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CARVE OUT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1291"/>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investee</w:t>
            </w: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166,888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Parent and its subsidiaries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0" w:type="dxa"/>
            <w:vAlign w:val="bottom"/>
          </w:tcPr>
          <w:p>
            <w:pPr>
              <w:spacing w:after="0"/>
              <w:rPr>
                <w:sz w:val="1"/>
                <w:szCs w:val="1"/>
                <w:color w:val="auto"/>
              </w:rPr>
            </w:pP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55,712</w:t>
            </w:r>
          </w:p>
        </w:tc>
        <w:tc>
          <w:tcPr>
            <w:tcW w:w="0" w:type="dxa"/>
            <w:vAlign w:val="bottom"/>
          </w:tcPr>
          <w:p>
            <w:pPr>
              <w:spacing w:after="0"/>
              <w:rPr>
                <w:sz w:val="1"/>
                <w:szCs w:val="1"/>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100 shares authorized; 100 shares issued and outstanding at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March 31, 2022 and December 31, 2021, respectively</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660,506</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(199,438)</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454,155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461,068</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to Combined Financial Statements are an integral part of these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CARVE OUT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44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37"/>
        </w:trPr>
        <w:tc>
          <w:tcPr>
            <w:tcW w:w="78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8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(Unaudited)</w:t>
            </w:r>
          </w:p>
        </w:tc>
        <w:tc>
          <w:tcPr>
            <w:tcW w:w="11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r>
      <w:tr>
        <w:trPr>
          <w:trHeight w:val="24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r>
      <w:tr>
        <w:trPr>
          <w:trHeight w:val="27"/>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4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7"/>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59,386</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38,756</w:t>
            </w:r>
          </w:p>
        </w:tc>
      </w:tr>
      <w:tr>
        <w:trPr>
          <w:trHeight w:val="27"/>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(15,598)</w:t>
            </w:r>
          </w:p>
        </w:tc>
      </w:tr>
      <w:tr>
        <w:trPr>
          <w:trHeight w:val="24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7"/>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to Combined Financial Statements are an integral part of these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CARVE OUT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March 31, 2021 and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restart"/>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40" w:type="dxa"/>
            <w:vAlign w:val="bottom"/>
          </w:tcPr>
          <w:p>
            <w:pPr>
              <w:spacing w:after="0"/>
              <w:rPr>
                <w:sz w:val="2"/>
                <w:szCs w:val="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622,752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460,206</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to BioReference</w:t>
            </w:r>
          </w:p>
        </w:tc>
        <w:tc>
          <w:tcPr>
            <w:tcW w:w="1620" w:type="dxa"/>
            <w:vAlign w:val="bottom"/>
            <w:gridSpan w:val="3"/>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620" w:type="dxa"/>
            <w:vAlign w:val="bottom"/>
            <w:gridSpan w:val="3"/>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0" w:type="dxa"/>
            <w:vAlign w:val="bottom"/>
          </w:tcPr>
          <w:p>
            <w:pPr>
              <w:spacing w:after="0"/>
              <w:rPr>
                <w:sz w:val="1"/>
                <w:szCs w:val="1"/>
                <w:color w:val="auto"/>
              </w:rPr>
            </w:pPr>
          </w:p>
        </w:tc>
      </w:tr>
      <w:tr>
        <w:trPr>
          <w:trHeight w:val="24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614,295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440,195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restart"/>
          </w:tcPr>
          <w:p>
            <w:pPr>
              <w:jc w:val="center"/>
              <w:ind w:right="36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660,506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461,068</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Contributions from BioReference</w:t>
            </w:r>
          </w:p>
        </w:tc>
        <w:tc>
          <w:tcPr>
            <w:tcW w:w="1620" w:type="dxa"/>
            <w:vAlign w:val="bottom"/>
            <w:gridSpan w:val="3"/>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620" w:type="dxa"/>
            <w:vAlign w:val="bottom"/>
            <w:gridSpan w:val="3"/>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0" w:type="dxa"/>
            <w:vAlign w:val="bottom"/>
          </w:tcPr>
          <w:p>
            <w:pPr>
              <w:spacing w:after="0"/>
              <w:rPr>
                <w:sz w:val="1"/>
                <w:szCs w:val="1"/>
                <w:color w:val="auto"/>
              </w:rPr>
            </w:pPr>
          </w:p>
        </w:tc>
      </w:tr>
      <w:tr>
        <w:trPr>
          <w:trHeight w:val="24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454,155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to Combined Financial Statements are an integral part of these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Inc. and Subsidary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Carve OUT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44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(Unaudited)</w:t>
            </w:r>
          </w:p>
        </w:tc>
        <w:tc>
          <w:tcPr>
            <w:tcW w:w="1180" w:type="dxa"/>
            <w:vAlign w:val="bottom"/>
          </w:tcPr>
          <w:p>
            <w:pPr>
              <w:spacing w:after="0"/>
              <w:rPr>
                <w:sz w:val="16"/>
                <w:szCs w:val="16"/>
                <w:color w:val="auto"/>
              </w:rPr>
            </w:pPr>
          </w:p>
        </w:tc>
      </w:tr>
      <w:tr>
        <w:trPr>
          <w:trHeight w:val="2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assets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21,227</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14,209</w:t>
            </w: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30"/>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Equity contributions (distributions)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to Combined Financial Statements are an integral part of these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CARVE OUT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31, 2022, GeneDx, Inc., a New Jersey corporation (including its subsidiaries as described below, “GeneDx”, we, our or us), was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March 31, 2022, GeneDx, Inc. was a wholly-owned subsidiary of BioReference Health, LLC, formerly known as BioReference Laboratories, Inc. (“BioReference”). BioReference and its subsidiaries (which, prior to the closing of the Acquisition described below, included GeneDx) are wholly owned subsidiaries of OPKO Health, Inc. (“OPKO” or “Parent”). MyGeneTeam and MyGeneTeam Canada are wholly owned subsidiaries of OPKO. GeneDx, MyGeneTeam, and MyGeneTeam Canada comprise the Combined Carve Out Financial Statements and are collectively referred to as GeneDx or the “Company”. The accompanying Combined Carve Out Financials Statements present the combined financial results of GeneDx as of and for the years ended December 31, 2021 and 2020 and are being prepared in connection with that certain Agreement and Plan of Merger, dated January 14, 2022 (as amended, the “Merger Agreement”), among Sema4 Holdings Corp. (“Sema4”), OPKO and the other parties thereto. In the opinion of management, the accompanying unaudited Combined Carve Out Financials Statements contain all adjustments necessary for a fair presentation of results for the interim periods presented. The results of operations for any interim period are not necessarily indicative of results for the full year. The combined carve out balance sheet as of December 31, 2021 has been derived from the audited combined carve out financial statements at that date, but does not include all of the information and disclosures required by U.S. generally accepted accounting principles for complete financial statements. These combined carve out financial statements should be read in connection with the December 31, 2021 audited combined carve out financial statements and the notes thereto.</w:t>
      </w:r>
    </w:p>
    <w:p>
      <w:pPr>
        <w:spacing w:after="0" w:line="1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April 29, 2022, Sema4 consummated the acquisition of GeneDx pursuant to the Merger Agreement (the “Acquisition”). After giving effect to the Acquisition and the other transactions contemplated by the Merger Agreement, GeneDx was converted into a Delaware limited liability company, GeneDx, LLC, and became Sema4’s wholly-owned subsidiary.</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corporate office and laboratory, which is our only physical location, is located at 207 Perry Parkway, Gaithersburg, Maryland 20877, which is a leased space.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Impact of COVID-19</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the disease caused by SARS-CoV-2, a strain of coronavirus, COVID-19 continues to spread and severely impact the economy of the United States, we are committed to being a part of the coordinated public and private sector response to this unprecedented challenge. During the outbreak of the pandemic, the facility space and certain human resources and supplies of GeneDx were deployed to perform COVID-19 RT-PCR testing on behalf of our parent company BioReference. From 2020 through 2021, GeneDx resulted approximately 1.6 million COVID-19 RT-PCR tests. All COVID-19 testing operations of GeneDx ceased in June 2021. None of the revenue or associated costs with the COVID-19 operations run at the GeneDx Combined Carve Out Financial Statements.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2020, in response to the outbreak of the COVID-19 pandemic, the Coronavirus Aid, Relief, and Economic Security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payroll tax credits associated with the retention of employees. We have received a number of benefits under the CARES Act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eligible to defer depositing the employer’s share of Social Security taxes for payments due from March 27, 2020, through December 31, 2020, interest-free and penalty-free;</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approximately $0.0 million and $0.3 million during the years ended December 31, 2021, and 2020, respectively, from the funds that were distributed to healthcare providers for related expenses or lost revenues that are attributable to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laboratories are provided with a one-year reprieve from the reporting requirements under the Protecting Access to Medicare Act as well as a one-year delay of reimbursement rate reductions for clinical laboratory services provided under Medicare that were scheduled to take place in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73"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Combined Carve Out Financial Statements have been prepared in accordance with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in the United States (US GAAP).</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combination. </w:t>
      </w:r>
      <w:r>
        <w:rPr>
          <w:rFonts w:ascii="Times New Roman" w:cs="Times New Roman" w:eastAsia="Times New Roman" w:hAnsi="Times New Roman"/>
          <w:sz w:val="18"/>
          <w:szCs w:val="18"/>
          <w:color w:val="auto"/>
        </w:rPr>
        <w:t>The accompanying Combined Carve Out Financial Statements include the accounts of GeneDx and of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MyGeneTeam and MyGeneTeam Canada were derived from the Consolidated Financial Statements and accounting records of the Parent as if GeneDx were operated on a standalone basis during the periods presented and were prepared in accordance with US GAAP. All intercompany accounts and transactions were eliminated in consolidation.</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Combined Carve Out Statements of Comprehensive Loss of GeneDx reflect general corporate and operating expenses provided by both the Parent and BioReference to GeneDx, through March 31, 2022, including, but not limited to, executive management, finance, legal, information technology, employee benefits administration, treasury, procurement, and other shared services. Actual costs that may have been incurred had GeneDx been a standalone company would have depended on a number of factors, including the chosen organizational structure, outsourced functions versus those performed by employees, and strategic decisions made in areas such as information technology and infrastructure.</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Combined Carve Out Balance Sheets (the “Combined Carve Out Balance Sheets”) of GeneDx include Parent and BioReference assets and liabilities that were specifically identifiable or otherwise attributable to GeneDx, including subsidiaries and affiliates in which the Parent had a controlling financial interest or was the primary beneficiary through March 31, 2022. All cash inflows and outflows obtained and used from operations were swept to BioReference’s centralized account. GeneDx reflects transfers of cash to and from BioReference’s cash management system as a component of Total Shareholder’s Equity in the Combined Carve Out Balance Sheets.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Combined Carve Out Financial Statements include GeneDx’s net assets and statement of comprehensive loss as described above. All intercompany transactions and accounts within the combined businesses of GeneDx have been eliminated.</w:t>
      </w:r>
    </w:p>
    <w:p>
      <w:pPr>
        <w:spacing w:after="0" w:line="10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significantly from these estimates.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include short-term, interest-bearing instruments with original maturities of 90 days or less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purchase. We also consider all highly liquid investments with original maturities at the date of purchase of 90 days or less as cash equivalents. These investments include money markets and bank deposits.</w:t>
      </w:r>
    </w:p>
    <w:p>
      <w:pPr>
        <w:spacing w:after="0" w:line="11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is valued at the lower of cost and net realizable value. Cost is determined by the first-in, first-out method. We consider such factors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inventory on hand, estimated time required to sell such inventory, remaining shelf-life, quality assessments and current market conditions to determine whether inventory is stated at the lower of cost and net realizable value. Inventory consists primarily of purchased laboratory supplies, which are used in our testing laboratory. GeneDx relies on a limited number of suppliers for certain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reagents, as well as sequencers and other equipment and materials that it uses in its laboratory operations. GeneDx does not have short- or long-term agreements with all of its suppliers, and its suppliers could cease supplying these materials and equipment at any time, or fail to provide it with sufficient quantities of materials or materials that meet its specifications.</w:t>
      </w:r>
    </w:p>
    <w:p>
      <w:pPr>
        <w:spacing w:after="0" w:line="12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represents the difference between the purchase price and the estimated fair value of net assets acquired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under the acquisition method of accounting. We recognized goodwill and intangible assets as a result of applying pushdown accounting in connection with OPKO’s acquisition of BioReference in 2015. We determined the fair value of our intangible assets using the “income method.”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Goodwill and indefinite lived intangible assets are tested at least annually as of October 1 for impairment, or when events or changes in circumstances indicate that the carrying amount of such assets may not be recoverable, by assessing qualitative factors, and performing a quantitative analysis if and when required, in determining whether it is more likely than not that its fair value exceeds the carrying value. Intangible assets are tested for impairment whenever events or changes in circumstances indicate that the carrying amount of such assets may not be recoverable.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Goodwill was $276.9 million and $282.0 million as of March 31, 2022, and December 31, 2021, respectively. Estimating the fair value of a reporting unit for goodwill impairment is highly sensitive to changes in projections and assumptions and changes in assumptions could potentially lead to impairment. We perform sensitivity analyses around our assumptions in order to assess the reasonableness of the assumptions and the results of our testing. Ultimately, potential changes in these assumptions may impact the estimated fair value of a reporting unit and result in an impairment if the fair value of such reporting unit is less than its carrying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intangible assets other than goodwill were $162.7 million and $166.9 million, respectively, as of March 31, 2022 and December 31, 2021.</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that our estimates and assumptions are reasonable and otherwise consistent with assumptions that marketplace participants would use in their estimates of fair value. However, if future results are not consistent with our estimates and assumptions, including as a result of the COVID-19 pandemic, then we may be exposed to an impairment charge, which could be material. We have one reporting segment and have recorded a cumulative goodwill impairment loss of $175.7 million as of March 31, 2022. We recorded a goodwill impairment charge of $5.1 million in Asset impairment charges in our Combined Carve Out Statements of Comprehensive Loss for the three months ended March 31, 2022, to write the carrying amount of the reporting unit down to its estimated fair value as determined using level 3 inputs under the GAAP fair value hierarchy. The determination of fair value involves judgment and estimates, including projected revenues and discount rates. No goodwill impairment was recorded for the year ended December 31, 2021.</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amortize intangible assets with definite lives on a straight-line basis over their estimated useful lives, ranging from 3 to 20 years. We use the straight-line method of amortization as there is no reliably determinable pattern in which the economic benefits of our intangible assets are consumed or otherwise used up. Amortization expense was $4.2 million for both quarterly periods ended March 31, 2022, and 2021.</w:t>
      </w:r>
    </w:p>
    <w:p>
      <w:pPr>
        <w:spacing w:after="0" w:line="12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carrying amounts of our cash and cash equivalents, accounts receivable and accounts payable approximate their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short-term maturities of these instruments and accounts. The fair value of the due to/due from Parent and its subsidiaries was not practical to estimate due to the uncertainty regarding the timing of future payments.</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Property, plant and equipment are recorded at cost. Depreciation is provided using the straight-line method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useful lives of the assets and includes amortization expense for assets capitalized under capital leases. The estimated useful lives by asset class are as follows: software - 3 years, computer equipment - 5 years, machinery, medical and other equipment - 8 years, furniture and fixtures - 12 years, leasehold improvements - the lesser of 10 years or the lease term and automobiles - lease term. Expenditures for repairs and maintenance are charged to expense as incurred. Depreciation expense was $1.2 million for both quarterly periods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such as property and equipment, are reviewed for impairment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then an impairment charge is recognized for the amount by which the carrying amount of the asset exceeds the fair value of the asset. No impairment charges were recorded for the quarterly periods ended March 31, 2022 and 2021.</w:t>
      </w:r>
    </w:p>
    <w:p>
      <w:pPr>
        <w:spacing w:after="0" w:line="12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Equity Method Investments. </w:t>
      </w:r>
      <w:r>
        <w:rPr>
          <w:rFonts w:ascii="Times New Roman" w:cs="Times New Roman" w:eastAsia="Times New Roman" w:hAnsi="Times New Roman"/>
          <w:sz w:val="18"/>
          <w:szCs w:val="18"/>
          <w:color w:val="auto"/>
        </w:rPr>
        <w:t>Equity method investments are assessed for impairment annually or when events or circumstances suggest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of the investment may be impaired. An impairment charge is recorded in earnings when the decline in value below the carrying amount of its equity method investment is determined to be other-than-temporary.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 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spacing w:after="0" w:line="136"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Prior to the Acquisition, OPKO grants stock options to certain employees of GeneDx and the annual contribution of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stock compensation is recorded in operating expenses in the accompanying Combined Carve Out Statements of Comprehensive Loss with a corresponding contribution to additional paid in capital. Stock compensation for the three months ended March 31, 2022 and March 31, 2021 were: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taxes are determined as if we filed tax returns on a standalone basis utilizing the Separate Return Method. Prior to the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were included in the consolidated federal income tax return filed by OPKO.</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We periodically evaluate the realizability of our net deferred tax assets. Our tax accruals are analyzed periodically and adjustments are made as events occur to warrant such adjustment. Valuation allowances on certain U.S. deferred tax assets and non-U.S. deferred tax assets may be established because realization of these tax benefits does not meet the more-likely-than-not threshold.</w:t>
      </w:r>
    </w:p>
    <w:p>
      <w:pPr>
        <w:spacing w:after="0" w:line="13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when a customer obtains control of promised goods or services in accordance with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The amount of revenue that is recorded reflects the consideration that we expect to receive in exchange for those goods or services. We apply the following five-step model in order to determine this amount: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apply the five-step model to contracts when it is probable that we will collect the consideration we are entitled to in exchange for the goods or services we transfer to the customer. At contract inception, once the contract is determined to be within the scope of Topic 606, we review the contract to determine which performance obligations we must deliver and which of these performance obligations are distinct. We recognize as revenue the amount of the transaction price that is allocated to the respective performance obligation when the performance obligation is satisfied or as it is satisfied.</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payer programs, including various managed care organizations, as well as the Medicare and Medicaid programs. For the quarterly periods ended March 31, 2022 and 2021, approximately 6.2% and 10.3%, respectively, of our revenues were derived directly from the Medicare and Medicaid programs. Billings for services under third-party payer programs are included in revenue net of allowances for contractual discounts, allowances for differences between the amounts billed and estimated program payment amounts and implicit price concessions provided to uninsured patients which are all elements of variable consideration.</w:t>
      </w:r>
    </w:p>
    <w:p>
      <w:pPr>
        <w:spacing w:after="0" w:line="13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complexities and ambiguities of billing, reimbursement regulations and claims processing, as well as issues unique to Medicare and Medicaid programs, require us to estimate the potential for retroactive adjustments in the recognition of revenue in the period the related services are rendered. Adjustments to the estimated payment amounts are recorded upon settlement as an adjustment to revenue.</w:t>
      </w:r>
    </w:p>
    <w:p>
      <w:pPr>
        <w:spacing w:after="0" w:line="120"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Concentration of credit risk and allowance for doubtful accounts</w:t>
      </w:r>
      <w:r>
        <w:rPr>
          <w:rFonts w:ascii="Times New Roman" w:cs="Times New Roman" w:eastAsia="Times New Roman" w:hAnsi="Times New Roman"/>
          <w:sz w:val="18"/>
          <w:szCs w:val="18"/>
          <w:color w:val="auto"/>
        </w:rPr>
        <w:t>. Financial instruments that potentially subject us to concentrations of credit risk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accounts receivable. Substantially all of our accounts receivable are with either companies in the health care industry or patients. However, credit risk is limited due to the number of our clients as well as their distribution across many different geographic regions.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we have receivables due from federal and state governmental agencies, we do not believe that such receivables represent a credit risk because the related health care programs are funded by federal and state governments, and payment is primarily dependent upon submitting appropriate documentation. As of March 31, 2022 and December 31, 2021, receivable balances (net of explicit price concessions) from Medicare and Medicaid were 4.9% and 3.7%, respectively, of our Accounts receivable, net.</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portion of our accounts receivable due from individual patients comprises the largest portion of credit risk. As of March 31, 2022 and December 31, 2021, receivables due from patients represented approximately 1.7% and 2.0%, respectively, of our Accounts receivable, net.</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assess the collectability of accounts receivable balances by considering factors such as historical collection experience, customer credit worthiness, the age of accounts receivable balances, regulatory changes and current economic conditions and trends that may affect a customer’s ability to pay. Actual results could differ from those estimates. Our reported net loss is directly affected by our estimate of the collectability of accounts receivable.</w:t>
      </w:r>
    </w:p>
    <w:p>
      <w:pPr>
        <w:spacing w:after="0" w:line="120"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Due to/from Parent and its subsidiaries. </w:t>
      </w:r>
      <w:r>
        <w:rPr>
          <w:rFonts w:ascii="Times New Roman" w:cs="Times New Roman" w:eastAsia="Times New Roman" w:hAnsi="Times New Roman"/>
          <w:sz w:val="18"/>
          <w:szCs w:val="18"/>
          <w:color w:val="auto"/>
        </w:rPr>
        <w:t>Due to/from Parent and its subsidiaries primarily represents operations between GeneDx and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Prior to the Acquisition, the Company used a centralized approach to cash management and financing of its operations. The fair value of the due from/to Parent and its subsidiaries was not practical to estimate due to the uncertainty regarding the timing of future payments.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We do not charge customers for shipping and handling costs. Shipping and handling costs are classified as Cost of revenues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Combined Carve Out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 Allocations from BioReference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historical costs and expenses reflected in our Combined Carve Out Financial Statements include an allocation for certain corporate and shared service functions provided by BioReference, including, but not limited to accounting, legal, human resources, information technology and other shared services. These expenses have been allocated to us on the basis of direct usage when identifiable, with the remainder allocated based on estimates to reasonably reflect the historical utilization of these services.</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Management believes the assumptions underlying our Combined Carve Out Financial Statements, including the assumptions regarding the allocation of general corporate expenses from BioReference, are reasonable. Nevertheless, our Combined Carve Out Financial Statements may not include all of the actual expenses that would have been incurred had we operated as a standalone company during the periods presented and may not reflect our combined results of operations, financial position and cash flows had we operated as a standalone company during the periods presented. Actual costs that would have been incurred if we had operated as a standalone company would have depended on multiple factors, including organizational structure and strategic decisions made in various areas.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Composition of Certain Combined Carve Out Financial Statement Captions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supplies, insurance and maintenance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recoverable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Machinery, medical and other equipment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Covenants not to compete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166,888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benefits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initial capital investment in the Joint Venture was $245,000, for which we received a 49% ownership interest the Joint Venture. Beyond the initial investment, we have not made any other investments in or loans in the Joint Venture through March 31, 2022.</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order to determine the primary beneficiary of the Joint Venture, we evaluated our investment to identify if we had the power to direct the activities that most significantly impact the economic performance of the Joint Venture. Based on the capital structure, governing documents and overall business operations of the Joint Venture, we determined that, while a variable interest entity, we do not have the power to direct the activities that most significantly impact the Joint Venture’s economic performance. We determined, however, that we can significantly influence control of the Joint Venture through our board representation and voting power. Therefore, we have the ability to exercise significant influence over the Joint Venture’s operations and account for our investment the Joint Venture under the equity method.</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proportionate share of cash on hand at the Joint Venture was returned to GeneDx in February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 shares of common stock, $0.01 par value per share. As of March 31, 2022 and December 31, 2021, all shares of our common stock were issued and outstanding and held by BioReference.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Guarantee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5,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 line loans and a $20.0 million sub-facility for the issuance of letters of credit. The A&amp;R Credit Agreement matures on August 30, 2024 and is guaranteed by all of BioReference and its domestic subsidiaries including GeneDx. Availability under the A&amp;R Credit Agreement is based on a borrowing base composed of BioReference’s eligible accounts receivables, which includes GeneDx, as specified therein. As of March 31, 2022 and December 31, 2021, there was no outstanding balance under the A&amp;R Credit Agreement.</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BioReference’s option, borrowings under the A&amp;R Credit Agreement (other than swingline loans) will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29, 2022, the A&amp;R Credit Agreement was amended to, among other things, (i) waive specified defaults under the A&amp;R Credit Agreement resulting from certain internal reorganization transactions that resulted in both BioReference and GeneDx changing their respective forms of organization from New Jersey corporations to Delaware limited liability companies, (ii) provide for the disposition of GeneDx pursuant to the transactions contemplated by the merger agreement with Sema4, (iii) amend certain reporting requirements under the A&amp;R Credit Agreement and (iv) provide that the borrowers under the A&amp;R Credit Agreement may effect certain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40" w:lineRule="exact"/>
        <w:rPr>
          <w:sz w:val="20"/>
          <w:szCs w:val="20"/>
          <w:color w:val="auto"/>
        </w:rPr>
      </w:pPr>
    </w:p>
    <w:p>
      <w:pPr>
        <w:ind w:right="2400"/>
        <w:spacing w:after="0" w:line="438" w:lineRule="auto"/>
        <w:rPr>
          <w:sz w:val="20"/>
          <w:szCs w:val="20"/>
          <w:color w:val="auto"/>
        </w:rPr>
      </w:pPr>
      <w:r>
        <w:rPr>
          <w:rFonts w:ascii="Times New Roman" w:cs="Times New Roman" w:eastAsia="Times New Roman" w:hAnsi="Times New Roman"/>
          <w:sz w:val="18"/>
          <w:szCs w:val="18"/>
          <w:color w:val="auto"/>
        </w:rPr>
        <w:t xml:space="preserve">payments to the extent necessary for their parent entities to pay income tax in respect of income earned by the borrowers. As of March 31, 2022 $64.8 million remained available to BioReference for borrowing under the A&amp;R Credit Agreement. </w:t>
      </w:r>
      <w:r>
        <w:rPr>
          <w:rFonts w:ascii="Times New Roman" w:cs="Times New Roman" w:eastAsia="Times New Roman" w:hAnsi="Times New Roman"/>
          <w:sz w:val="18"/>
          <w:szCs w:val="18"/>
          <w:b w:val="1"/>
          <w:bCs w:val="1"/>
          <w:color w:val="auto"/>
        </w:rPr>
        <w:t>Note 9 Related Party Transactions</w:t>
      </w:r>
    </w:p>
    <w:p>
      <w:pPr>
        <w:spacing w:after="0" w:line="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Dr. Roger Medel, a director of OPKO as of December 18, 2020, is the former Chief Executive Officer of Pediatrix. Dr. Medel continues to serve on the board of Pediatrix.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September 2018, GeneDx received two document request letters from Cigna’s Special Investigations Unit in connection with claims submitted for laboratory services performed on Cigna members by GeneDx. Cigna requested records and other documentation for 100 individual members for which GeneDx had submitted claims. The parties negotiated a final settlement agreement in January 2021 that included a $500,000 payment from GeneDx to Cigna without any admission of error or liability and a mutual release of any and all claims prior to the execution of the settlement agreement.</w:t>
      </w:r>
    </w:p>
    <w:p>
      <w:pPr>
        <w:spacing w:after="0" w:line="12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accrue a liability for legal contingencies when we believe that it is both probable that a liability has been incurred and that we can reasonably estimate the amount of the loss.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in the paragraph below, the amount of liability is not probable, or the amount cannot be reasonably estimated; and, therefore, accruals have not been made. In addition, in accordance with the relevant authoritative guidance, for matters which the likelihood of material loss is at least reasonably possible, we provide disclosure of the possible loss or range of loss; however, if a reasonable estimate cannot be made, we will provide disclosure to that effect.</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we may receive inquiries, document requests, Civil Investigative Demands (“CIDs”) or subpoenas from the Department of Justice, the Office of Inspector General and Office for Civil Rights (“OCR”) of the Department of Health and Human Services, the Centers for Medicare and Medicaid Services, various payors and fiscal intermediaries, and other state and federal regulators regarding investigations, audits and reviews. In addition to the matters discussed in this note, we are currently responding to CIDs, subpoenas or document requests for various matters relating to our laboratory operations. Some pending or threatened proceedings against us may involve potentially substantial amounts as well as the possibility of civil, criminal, or administrative fines, penalties, or other sanctions, which could be material. Settlements of suits involving the types of issues that we routinely confront may require monetary payments as well as corporate integrity agreements. Additionally, qui tam or “whistleblower” actions initiated under the civil False Claims Act may be pending but placed under seal by the court to comply with the False Claims Act’s requirements for filing such suits. Also, from time to time, we may detect issues of non-compliance with federal healthcare laws pertaining to claims submission and reimbursement practices and/or financial relationships with physicians, among other things. We may avail ourselves of various mechanisms to address these issues, including participation in voluntary disclosure protocols. Participating in voluntary disclosure protocols can have the potential for significant settlement obligations or even enforcement action. The Company generally has cooperated, and intends to continue to cooperate, with appropriate regulatory authorities as and when investigations, audits and inquiries arise.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party to other litigation in the ordinary course of business. While we cannot predict the ultimate outcome of legal matters, we accrue a liability for legal contingencies when we believe that it is both probable that a liability has been incurred and that we can reasonably estimate the amount of the loss. It is reasonably possible the ultimate liability could exceed amounts currently estimated and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which such determination is made. Because of the high degree of judgment involved in establishing loss estimates, the ultimate outcome of such matters could be material to our business, financial condition, results of operations, and cash flows.</w:t>
      </w:r>
    </w:p>
    <w:p>
      <w:pPr>
        <w:spacing w:after="0" w:line="108"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We have employment agreements with certain executives that provide for compensation and certain other benefits and for severance payments under certain circumstances. During the quarterly periods ended March 31, 2022 and 2021, we recognized $35 thousand and $9 thousand respectively, of severance costs pursuant to employment agreements with former executives as a component of selling, general and administrative expense.</w:t>
      </w:r>
    </w:p>
    <w:p>
      <w:pPr>
        <w:spacing w:after="0" w:line="1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March 31, 2022, we were committed to make future purchases for inventory and other items in 2022 that occur in the ordinary course of business under various purchase arrangements with fixed purchase provisions aggregating $11.3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medical malpractice insurance coverage at a level in excess of historical claims.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Revenue Recognition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payor programs including various managed care organizations, as well as Medicare and Medicaid programs. Billings for services are included in revenue net of allowances for explicit price concessions, and implicit price concessions provided to uninsured patients which are all elements of variable consideration.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descriptions of our payors for laboratory services:</w:t>
      </w:r>
    </w:p>
    <w:p>
      <w:pPr>
        <w:spacing w:after="0" w:line="1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Healthcare Insurers. </w:t>
      </w:r>
      <w:r>
        <w:rPr>
          <w:rFonts w:ascii="Times New Roman" w:cs="Times New Roman" w:eastAsia="Times New Roman" w:hAnsi="Times New Roman"/>
          <w:sz w:val="18"/>
          <w:szCs w:val="18"/>
          <w:color w:val="auto"/>
        </w:rPr>
        <w:t>Reimbursements from healthcare insurers are based on negotiated fee-for-service schedules. Revenues consist of amounts billed,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third-party payors, are recorded upon settlement.</w:t>
      </w:r>
    </w:p>
    <w:p>
      <w:pPr>
        <w:spacing w:after="0" w:line="12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Government Payors. </w:t>
      </w:r>
      <w:r>
        <w:rPr>
          <w:rFonts w:ascii="Times New Roman" w:cs="Times New Roman" w:eastAsia="Times New Roman" w:hAnsi="Times New Roman"/>
          <w:sz w:val="17"/>
          <w:szCs w:val="17"/>
          <w:color w:val="auto"/>
        </w:rPr>
        <w:t>Reimbursements from government payors are based on fee-for-service schedules set by governmental authorities, including traditional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Medicare and Medicaid.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government payors, are recorded upon settlement.</w:t>
      </w:r>
    </w:p>
    <w:p>
      <w:pPr>
        <w:spacing w:after="0" w:line="11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Client Payors. </w:t>
      </w:r>
      <w:r>
        <w:rPr>
          <w:rFonts w:ascii="Times New Roman" w:cs="Times New Roman" w:eastAsia="Times New Roman" w:hAnsi="Times New Roman"/>
          <w:sz w:val="18"/>
          <w:szCs w:val="18"/>
          <w:color w:val="auto"/>
        </w:rPr>
        <w:t>Client payors include physicians, hospitals, employers, and other institutions for which services are performed on a wholesale basis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billed and recognized as revenue based on negotiated fee schedules.</w:t>
      </w:r>
    </w:p>
    <w:p>
      <w:pPr>
        <w:spacing w:after="0" w:line="10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Patients. </w:t>
      </w:r>
      <w:r>
        <w:rPr>
          <w:rFonts w:ascii="Times New Roman" w:cs="Times New Roman" w:eastAsia="Times New Roman" w:hAnsi="Times New Roman"/>
          <w:sz w:val="18"/>
          <w:szCs w:val="18"/>
          <w:color w:val="auto"/>
        </w:rPr>
        <w:t>Uninsured patients are billed based on established patient fee schedules or fees negotiated with physicians on behalf of their patients. Insured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(including amounts for coinsurance and deductible responsibilities) are billed based on fees negotiated with healthcare insurers. Collection of billings from patients is subject to credit risk and ability of the patients to pay. Revenues consist of amounts billed net of discounts provided to uninsured patients in accordance with our policies and implicit price concessions. Implicit price concessions represent differences between amounts billed and the estimated consideration that we expect to receive from patients, which considers historical collection experience and other factors including current market conditions. Adjustments to the estimated allowances, based on actual receipts from the patients, are recorded upon settlement.</w:t>
      </w:r>
    </w:p>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complexities and ambiguities of billing, reimbursement regulations and claims processing, as well as issues unique to Medicare and Medicaid programs, require us to estimate the potential for retroactive adjustments as an element of variable consideration in the recognition of revenue in the period the related services are rendered. Actual amounts are adjusted for the period in which those adjustments become known. For the quarterly period ended March 31, 2022 revenue increases due to changes in estimates of implicit price concessions for performance obligations satisfied in prior periods of $1.5 million were recognized. For the quarterly period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revenue reductions due to changes in estimates of implicit price concessions for performance obligations satisfied in prior periods of $4.0 million were recognized.</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Third-party payors, including government programs, may decide to deny payment or recoup payments for testing they contend were improperly billed or not medically necessary, against their coverage determinations, or for which they believe they have otherwise overpaid (including as a result of their own error), and we may be required to refund payments already received. Our revenues may be subject to retroactive adjustment as a result of these factors among others, including without limitation, differing interpretations of billing and coding guidance and changes by government agencies and payors in interpretations, requirements, and “conditions of participation” in various programs. We have processed requests for recoupment from third-party payors in the ordinary course of our business, and it is likely that we will continue to do so in the future. If a third-party payer denies payment for testing or recoups money from us in a later period, reimbursement revenue for our testing could decline.</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an integral part of our billing compliance program, we periodically assess our billing and coding practices, respond to payor audits on a routine basis, and investigate reported failures or suspected failures to comply with federal and state healthcare reimbursement requirements, as well as overpayment claims which may arise from time to time without fault on the part of the Company. We may have an obligation to reimburse Medicare, Medicaid, and third-party payors for overpayments regardless of fault. We have periodically identified and reported overpayments, reimbursed payors for overpayments and taken appropriate corrective action.</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Settlements with third-party payors for retroactive adjustments due to audits, reviews or investigations are also considered variable consideration and are included in the determination of the estimated transaction price for providing services. These settlements are estimated based on the terms of the payment agreement with the payor, correspondence from the payor and our historical settlement activity, including an assessment of the probability a significant reversal of cumulative revenue recognized will occur when the uncertainty is subsequently resolved. Estimated settlements are adjusted in future periods as adjustments become known (that is, new information becomes available), or as years are settled or are no longer subject to such audits, reviews, and investigations.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Revenue by payor for the quarterly periods ended March 31, 2022 and 2021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insurers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payors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payors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an operating lease for office space and laboratory operations. We determine if a contract contains a lease at inception or modification of a contract. Our lease does not provide an implicit interest rate, and we therefore use our incremental borrowing rate as the discount rate when measuring operating lease liability. The incremental borrowing rate represents an estimate of the interest rate we would incur, calculated at the Parent level, at lease commencement to borrow an amount equal to the lease payments on a collateralized basis over the term of the lease within a particular currency environment. We used the incremental borrowing rate as of January 1, 2019 for this operating lease. We factored into our determination of the lease payments any rental escalation, renewal options, and/or termination options as appropriate. Variable lease payment amounts that cannot be determined at the commencement of the lease are not included in the right-to-use assets or liabilities.</w:t>
      </w:r>
    </w:p>
    <w:p>
      <w:pPr>
        <w:spacing w:after="0" w:line="13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elected the use of permitted practical expedients of not recording leases on our Combined Balance Sheet when the leases have terms of 12 months or less, and we elected not to separate nonlease components from lease components and instead account for each separate lease component and the nonlease components associated with that lease component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balances within the Combined Balance Sheet as of March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Classification on the Balance Sheet</w:t>
            </w: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06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5,748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5,789</w:t>
            </w:r>
          </w:p>
        </w:tc>
      </w:tr>
      <w:tr>
        <w:trPr>
          <w:trHeight w:val="257"/>
        </w:trPr>
        <w:tc>
          <w:tcPr>
            <w:tcW w:w="4060" w:type="dxa"/>
            <w:vAlign w:val="bottom"/>
            <w:shd w:val="clear" w:color="auto" w:fill="CCEEFF"/>
          </w:tcPr>
          <w:p>
            <w:pPr>
              <w:spacing w:after="0"/>
              <w:rPr>
                <w:sz w:val="22"/>
                <w:szCs w:val="22"/>
                <w:color w:val="auto"/>
              </w:rPr>
            </w:pPr>
          </w:p>
        </w:tc>
        <w:tc>
          <w:tcPr>
            <w:tcW w:w="3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4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9,936</w:t>
            </w:r>
          </w:p>
        </w:tc>
      </w:tr>
      <w:tr>
        <w:trPr>
          <w:trHeight w:val="256"/>
        </w:trPr>
        <w:tc>
          <w:tcPr>
            <w:tcW w:w="4060" w:type="dxa"/>
            <w:vAlign w:val="bottom"/>
            <w:shd w:val="clear" w:color="auto" w:fill="CCEEFF"/>
          </w:tcPr>
          <w:p>
            <w:pPr>
              <w:spacing w:after="0"/>
              <w:rPr>
                <w:sz w:val="22"/>
                <w:szCs w:val="22"/>
                <w:color w:val="auto"/>
              </w:rPr>
            </w:pPr>
          </w:p>
        </w:tc>
        <w:tc>
          <w:tcPr>
            <w:tcW w:w="3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9.0 years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years</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bl>
    <w:p>
      <w:pPr>
        <w:spacing w:after="0" w:line="2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minimum lease payments (displayed by year and in the aggregate) under noncancelable operating leases with terms of more than one year to the total operating lease liabilities recognized on our Combined Balance Sheet as of March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calendar year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Difference between lease payments and discounted lease liabilities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minimum lease payments above include tenant improvement payments of $2.0 million and $0.6 million for the years ended 2022 and 2023, respectively. We conduct certain of our operations under operating lease agreements. Rent expense under operating leases was approximately $0.4 million for the quarterly period ended March 31, 2022 and $0.2 million for the quarterly period ended March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January 18, 2022, Sema4 and OPKO announced they had entered into a definitive agreement pursuant to which Sema4 has agreed to acquire OPKO’s wholly owned subsidiary, GeneDx, a leader in genomic testing and analysis. The GeneDx Transaction closed on April 29, 2022. Under the terms of the GeneDx Merger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Sema4 acquired GeneDx for an upfront payment of $150 million in cash, subject to adjustments, plus 80.0 million shares in Sema4, with up to an additional $150 million revenue-based milestones over the next two years (which will be payable in cash or Sema4 shares at Sema4’s discretion). Based on the closing stock price of Sema4 as of April 29, 2022, the total upfront consideration represents approximately $322 million, and the total aggregate consideration including potential milestones is approximately $472 million.</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reviewed all subsequent events and transactions that occurred after the date of our March 31, 2022, Combined Balance Sheet date up through August 26, 2022, which is the date that the Combined Financial Statements were available to be issued, noting no items that required adjustment or disclosures in the Combined Financial Statements, except for Sema4’s completion of the Acquisition of GeneDx on April 29, 2022, pursuant to the terms of the Merger Agreement. After giving effect to the Acquisition and the other transactions contemplated by the Merger Agreement, GeneDx was converted into a Delaware limited liability company, GeneDx, LLC, and became Sema4’s wholly-owned subsidiary.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for the Quarterly Periods Ended March 31, 2022 and March 31,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Revenue from services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38,756</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20,630</w:t>
            </w:r>
          </w:p>
        </w:tc>
        <w:tc>
          <w:tcPr>
            <w:tcW w:w="8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from services increased $13.4 million, or 58%, to $36.5 million for the quarter ended March 31, 2022, from $23.2 million for the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2021. The increase was primarily attributable to the following components:</w:t>
      </w:r>
    </w:p>
    <w:p>
      <w:pPr>
        <w:spacing w:after="0" w:line="106" w:lineRule="exact"/>
        <w:rPr>
          <w:sz w:val="20"/>
          <w:szCs w:val="20"/>
          <w:color w:val="auto"/>
        </w:rPr>
      </w:pPr>
    </w:p>
    <w:p>
      <w:pPr>
        <w:jc w:val="both"/>
        <w:ind w:left="660" w:right="60" w:hanging="328"/>
        <w:spacing w:after="0" w:line="31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exome and whole genome sequencing (WGS) revenue increased $6.9 million, resulting from a 73.7%, or $5.6 million increase in test volumes (on the basis of test results in the period) and an increase of $1.3 million from improved test reimbursement resulting from our targeted sales strategy;</w:t>
      </w:r>
    </w:p>
    <w:p>
      <w:pPr>
        <w:spacing w:after="0" w:line="85" w:lineRule="exact"/>
        <w:rPr>
          <w:rFonts w:ascii="Times New Roman" w:cs="Times New Roman" w:eastAsia="Times New Roman" w:hAnsi="Times New Roman"/>
          <w:sz w:val="17"/>
          <w:szCs w:val="17"/>
          <w:color w:val="auto"/>
        </w:rPr>
      </w:pPr>
    </w:p>
    <w:p>
      <w:pPr>
        <w:ind w:left="660" w:right="5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non-exome, non-WGS revenue remained relatively flat from a 12.8%, or a $2.0 million increase in test volumes offset by a decrease of $2.0 million from reduced test reimbursement resulting from increased commodization and increased denial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 and data services revenue increased $0.2 million; and</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$6.3 million related to adjustments for changes in estimates of implicit price concessions for performance obligations satisfied in prior periods and other. Estimated collection amounts are subject to the complexities and ambiguities of billing, reimbursement regulations and claims processing, as well as considerations unique to Medicare and Medicaid programs, and require us to consider the potential for retroactive adjustments when estimating variable consideration in the recognition of revenue in the period the related services are rendered. For the quarterly period ended March 31, 2022, we recognized revenue improvement due to changes in estimates of implicit price concessions for performance obligations satisfied in prior periods of $2.3 million. For the quarterly period ended March 31, 2021, we recognized revenue reduction due to changes in estimate of implicit price concessions for performance obligations satisfied in prior periods of $4.0 million.</w:t>
      </w:r>
    </w:p>
    <w:p>
      <w:pPr>
        <w:spacing w:after="0" w:line="13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increased $4.2 million, or 19%, to $26.2 million for the quarter ended March 31, 2022, from $22.0 million for the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2021. The increase was primarily attributable to the following components: increased reagent, supply and specimen collection costs of $2.5 million and an increase of $0.2 million in personnel-related expenses driven by increased testing volumes.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$9.7 million, or 96%, to $19.8 million for the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2022, from $10.1 million for the quarter ended March 31, 2021. Selling, general and administrative expenses increased primarily due to the following components: increased information-technology related and other third party professional fees and license costs of $2.2 million to support the implementation of our expansion of various enterprise systems and other enablement technologies; increased personal costs of $7.0 million and advertising costs of $0.4 million driving by increased sales and marketing personnel, higher human resource, talent acquisition and onboarding costs to support expansions in our workforce; $0.5 million in non-cash share based expense; and $0.7 million increased facility costs, depreciation &amp; amortization, and repair &amp; maintenance expense.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following table summarizes the components of our 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For the quarters ended March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employee-related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internal research and development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increased $1.5 million, or 62%, to $4.0 million for the quarter ended March 31, 2022 from $2.5 million for the quarter ended March 31, 2021 primarily due to increase personnel-related costs due to increased headcount across laboratory automation and robotics, bioinformatics and data research &amp; development activities.</w:t>
      </w:r>
    </w:p>
    <w:p>
      <w:pPr>
        <w:spacing w:after="0" w:line="12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$4.2 million for both the quarters ended March 31, 2022 and 2021.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reflects the amortization of acquired intangible assets with defined useful lives.</w:t>
      </w:r>
    </w:p>
    <w:p>
      <w:pPr>
        <w:spacing w:after="0" w:line="104"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Asset impairment charges</w:t>
      </w:r>
      <w:r>
        <w:rPr>
          <w:rFonts w:ascii="Times New Roman" w:cs="Times New Roman" w:eastAsia="Times New Roman" w:hAnsi="Times New Roman"/>
          <w:sz w:val="18"/>
          <w:szCs w:val="18"/>
          <w:color w:val="auto"/>
        </w:rPr>
        <w:t>. Asset impairment charges were $5.1 million for the three months ended March 31, 2022. We recorded a goodwill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to write the carrying amount of the reporting unit down to its estimated fair value. No asset impairment charge was recorded for the three months ended March 31, 2021.</w:t>
      </w:r>
    </w:p>
    <w:p>
      <w:pPr>
        <w:spacing w:after="0" w:line="11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Income tax benefit</w:t>
      </w:r>
      <w:r>
        <w:rPr>
          <w:rFonts w:ascii="Times New Roman" w:cs="Times New Roman" w:eastAsia="Times New Roman" w:hAnsi="Times New Roman"/>
          <w:sz w:val="18"/>
          <w:szCs w:val="18"/>
          <w:color w:val="auto"/>
        </w:rPr>
        <w:t>. Our income tax benefit for the quarters ended March 31, 2022 and 2021 was $4.3 million and $4.0 million, respectively, and reflects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using our expected effective tax 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had cash and cash equivalents of approximately $25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cash used in operations for the quarterly period ended March 31, 2022, was $9.4 million primarily attributable to our net loss of $18.5 million and the net change in deferred income taxes of $4.2 million partially offset by impairment of assets of $5.1 million, a non-cash depreciation and amortization expense of $5.4 million and a change in accounts payable of $5.1 million. Net cash provided in operations for the quarterly period ended March 31, 2021 was $14.2 million primarily attributable to the non-cash depreciation and amortization expense of $5.4 million and chance in accounts payable of $21.2 million partially offset by our net loss of $11.6 million and the net change in deferred income taxes of $3.9 million.</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quarterly periods ended March 31, 2022 and March 31, 2021 primarily reflects capital expenditures of $1.6 million and $5.7 million, respectively, predominantly related to the expansion and improvement to our newly outfitted 90,000 square-foot laboratory and to purchases of additional next generation sequencing equipment.</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2022, includes equity contributions from BioReference, our direct parent company, of $10.8 million to fund operations. Net cash provided by financing activities for the three months ended March 31, 2021 includes equity distributions to BioReference, our direct parent company, of $8.6 million, to fund operations. We have not generated sustained positive cash flow sufficient to offset our operating and other expenses.</w:t>
      </w:r>
    </w:p>
    <w:p>
      <w:pPr>
        <w:spacing w:after="0" w:line="12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November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assets of BioReference’s, domestic subsidiaries, as well as a non-recourse pledge by BioReference’s parent company of its equity interest in BioReference. Availability under the A&amp;R Credit Agreement is based on a borrowing base composed of BioReference’s eligible accounts receivables, which includes GeneDx, as specified therein. As of March 31, 2022, $64.8 million remained available for borrowing under the A&amp;A Credit Agreement.</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BioReference’s option, borrowings under the A&amp;R Credit Agreement (other than swingline loans)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that the cash and cash equivalents on hand as of March 31, 2022, cash from operations and the amounts available to be borrowed under the A&amp;R Credit Agreement are sufficient to meet our anticipated cash requirements for operations and debt service beyond the next 12 months. We based this estimate on assumptions that may prove to be wrong or are subject to change, and we may be required to use our available cash resources sooner than we currently expect. If we acquire additional assets or companies, we will need additional funds. Our future cash requirements, and the timing of those requirements, will depend on a number of factors, including the availability of financing, payor claims, and legal proceedings that may arise, including, without limitation class action and derivative litigation to which we are subject, and our ability to obtain insurance coverage for such claims. We have not generated sustained positive cash flow and if we are not able to secure additional funding when needed, we may have to reduce our marketing or sales efforts or cease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7" w:name="page28"/>
    <w:bookmarkEnd w:id="27"/>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March 31, 2022, with respect to the amounts and timing of our known contractual obligation payments due by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8"/>
                <w:szCs w:val="18"/>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purchase orders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r>
      <w:tr>
        <w:trPr>
          <w:trHeight w:val="230"/>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16,485</w:t>
            </w:r>
          </w:p>
        </w:tc>
      </w:tr>
      <w:tr>
        <w:trPr>
          <w:trHeight w:val="24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27,754</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are subject to general economic and political conditions such as recessions, wage and input cost inflation, governmental COVID-19 shut down mandates as a result of the pandemic and, potential acts of war or terrorism. We are not exposed to material market or interest rate risk in the ordinary course of our business given our limited cash position and no outstanding debt as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Exhibit 99.2 to our Current Report on Form 8-K (the “Form 8-K”) to:</w:t>
      </w:r>
    </w:p>
    <w:p>
      <w:pPr>
        <w:spacing w:after="0" w:line="29" w:lineRule="exact"/>
        <w:rPr>
          <w:sz w:val="20"/>
          <w:szCs w:val="20"/>
          <w:color w:val="auto"/>
        </w:rPr>
      </w:pPr>
    </w:p>
    <w:p>
      <w:pPr>
        <w:ind w:left="660" w:right="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means the transactions contemplated by the Acquisition Merger Agreement, including the Mergers, pursuant to which the Company acquired GeneDx on April 29, 2022.</w:t>
      </w:r>
    </w:p>
    <w:p>
      <w:pPr>
        <w:ind w:left="660" w:right="4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Merger Agreement</w:t>
      </w:r>
      <w:r>
        <w:rPr>
          <w:rFonts w:ascii="Times New Roman" w:cs="Times New Roman" w:eastAsia="Times New Roman" w:hAnsi="Times New Roman"/>
          <w:sz w:val="18"/>
          <w:szCs w:val="18"/>
          <w:color w:val="auto"/>
        </w:rPr>
        <w:t>” means that certain Agreement and Plan of Merger and Reorganization, dated as of January 14, 2022, by and among the Company, Merger Sub I, Merger Sub II, GeneDx, OPKO, and Holdco, as amended by the Amendment to Agreement and Plan of Merger and Reorganization, dated as of April 29, 2022.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Merger</w:t>
      </w:r>
      <w:r>
        <w:rPr>
          <w:rFonts w:ascii="Times New Roman" w:cs="Times New Roman" w:eastAsia="Times New Roman" w:hAnsi="Times New Roman"/>
          <w:sz w:val="18"/>
          <w:szCs w:val="18"/>
          <w:color w:val="auto"/>
        </w:rPr>
        <w:t>” means the merger of Merger Sub I with and into HoldCo, with HoldCo as the surviving corporation in the First Merger.</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means (i) GeneDx, Inc., a New Jersey corporation prior to the closing of the Acquisition and (ii) GeneDx, LLC, a Delaware limited liability company, following the closing of the Acquisition.</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means GeneDx Holding 2, Inc., which held 100% of GeneDx immediately following the time the First Merger became effective.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w:t>
      </w:r>
      <w:r>
        <w:rPr>
          <w:rFonts w:ascii="Times New Roman" w:cs="Times New Roman" w:eastAsia="Times New Roman" w:hAnsi="Times New Roman"/>
          <w:sz w:val="18"/>
          <w:szCs w:val="18"/>
          <w:color w:val="auto"/>
        </w:rPr>
        <w:t>” means Orion Merger Sub I,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II</w:t>
      </w:r>
      <w:r>
        <w:rPr>
          <w:rFonts w:ascii="Times New Roman" w:cs="Times New Roman" w:eastAsia="Times New Roman" w:hAnsi="Times New Roman"/>
          <w:sz w:val="18"/>
          <w:szCs w:val="18"/>
          <w:color w:val="auto"/>
        </w:rPr>
        <w:t>” means Orion Merger Sub II,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means the First Merger and the Second Merger.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OPKO</w:t>
      </w:r>
      <w:r>
        <w:rPr>
          <w:rFonts w:ascii="Times New Roman" w:cs="Times New Roman" w:eastAsia="Times New Roman" w:hAnsi="Times New Roman"/>
          <w:sz w:val="18"/>
          <w:szCs w:val="18"/>
          <w:color w:val="auto"/>
        </w:rPr>
        <w:t>” means OPKO Health, Inc.</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Merger</w:t>
      </w:r>
      <w:r>
        <w:rPr>
          <w:rFonts w:ascii="Times New Roman" w:cs="Times New Roman" w:eastAsia="Times New Roman" w:hAnsi="Times New Roman"/>
          <w:sz w:val="18"/>
          <w:szCs w:val="18"/>
          <w:color w:val="auto"/>
        </w:rPr>
        <w:t>” means the merger of HoldCo, as the surviving corporation in the First Merger, with and into Merger Sub II, with Merger Sub II as the surviving company.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Sema4</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refer to Sema4 Holdings Corp., a Delaware corporation, and its consolidated subsidiaries.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Introduction</w:t>
      </w:r>
    </w:p>
    <w:p>
      <w:pPr>
        <w:spacing w:after="0" w:line="19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are based on the historical consolidated financial statements of Sema4 and historical combined financial statements of GeneDx and are adjusted to give effect to the completed Acquisition. Concurrently with the closing of the Acquisition, Sema4 also issued and sold in private placement 50,000,000 shares of the Company’s Class A common stock to certain institutional investors for aggregate gross proceeds of $200 million (the “Acquisition PIPE Investment”).</w:t>
      </w:r>
    </w:p>
    <w:p>
      <w:pPr>
        <w:spacing w:after="0" w:line="1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Sema4 is a leading health intelligence company—one that can unlock insights from data, leading to healthier lives and a healthier society. Sema4 is focused on delivering a portfolio of genomic and data solutions to guide patients through their family health journey. That includes family planning, delivery, pediatrics, hereditary cancer screening, and rare disorders for children and adults.</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Since Sema4’s commencement of operations as a commercial entity in 2017, Sema4 has established a market leading health intelligence platform, accelerating the use of genomics and leveraging large-scale clinical data to enhance the standard of care through extensive precision medicine solutions. Sema4’s business was further strengthened in April 2022 by the Acquisition of GeneDx, a leader in genomic testing and analysis for rare disorders. Sema4 believes the transaction positions Sema4 as one of the largest and most advanced providers of genomic testing in the U.S. and further strengthens its health information database to transform patient care and improve therapeutic development. Sema4 and GeneDx now maintain a database that includes patient data available for research on approximately 12 million patients from a number of public and proprietary sources. More than five million patients are available with clinical data through our partnership health systems and genomic testing solutions that may include structured and unstructured data available for deeper curation to construct more comprehensive natural histories of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29" w:name="page30"/>
    <w:bookmarkEnd w:id="29"/>
    <w:p>
      <w:pPr>
        <w:spacing w:after="0" w:line="167"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Currently, Sema4 derives the majority of its revenue from its diagnostic test solutions. Its diagnostic business generates revenue and engages with healthcare professionals working with patients primarily through its Reproductive Health/Women’s Health and Pediatrics/NICU solutions.</w:t>
      </w:r>
    </w:p>
    <w:p>
      <w:pPr>
        <w:spacing w:after="0" w:line="12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Sema4’s Reproductive Health/Women’s Health solutions sequence and analyze an industry-leading number of genes and use interpretive information tools to translate raw sequencing and clinical data efficiently and accurately into digestible clinical reports that guide decision-making by patients and physicians. These solutions also include Sema4 Signal Hereditary Cancer, which determines if a patient carries an inherited genetic change that increases the risk of cancer or informs on cancer treatment.</w:t>
      </w:r>
    </w:p>
    <w:p>
      <w:pPr>
        <w:spacing w:after="0" w:line="15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Sema4’s Pediatrics/NICU offerings include testing solutions for children, both inpatient in the neonatal intensive care unit (NICU) and pediatric intensive care unit (PICU) and outpatient for developmental delay and neurodevelopmental delay as well as rare disease for children and adults. Sema4 has the industry-leading exome, which includes comprehensive CNV (copy number variation) analysis and have an extensive database of over 375,000 clinically sequenced exomes and more than two million structured phenotypes.</w:t>
      </w:r>
    </w:p>
    <w:p>
      <w:pPr>
        <w:spacing w:after="0" w:line="14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The following unaudited pro forma combined statements of operations for the six months ended June 30, 2022, combine the historical consolidated statements of comprehensive loss of Sema4, which includes the results of GeneDx subsequent to the April 29, 2022 acquisition and the four months of pre-Acquisition period of combined statements of comprehensive loss of GeneDx, giving effect to the Acquisition, the Acquisition PIPE Investment and all factually supportable adjustments that are directly attributable to the Acquisition, the Acquisition PIPE Investment and the other transactions contemplated by the Acquisition Merger Agreement, as if they had been consummated on January 1, 2022.</w:t>
      </w:r>
    </w:p>
    <w:p>
      <w:pPr>
        <w:spacing w:after="0" w:line="15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unaudited pro forma combined financial information presented is based on the assumptions and adjustments described in the accompanying notes. The unaudited pro forma combined financial information is derived from the respective historical consolidated financial statements of Sema4 and the four months of pre-Acquisition period of combined statements of comprehensive loss of GeneDx and two months of post-Acquisition statements of comprehensive loss of GeneDx, giving effect to the Acquisition, as described further in Note 2 —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pro forma information is not necessarily indicative of the Company’s operating results had the Acquisition been completed on the pro forma acquisition date, nor is it necessarily indicative of the Company’s future results. The pro forma financial information reflects GeneDx’s historical operating results and does not include any additional revenue or cost saving opportunities following the Acquisition. The purchase price allocations for the assets acquired and liabilities assumed are based on preliminary valuations and are subject to change as the Company obtains additional information during the acquisition measurement period, such as finalizing closing net working capital adjustment with OPKO. 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 The pro forma revenues and net loss include the following adjustments based on the Company’s preliminary analysis and are subject to change as additional analysis is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2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5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Pro Forma Adjustments</w:t>
            </w:r>
          </w:p>
        </w:tc>
        <w:tc>
          <w:tcPr>
            <w:tcW w:w="500" w:type="dxa"/>
            <w:vAlign w:val="bottom"/>
          </w:tcPr>
          <w:p>
            <w:pPr>
              <w:spacing w:after="0"/>
              <w:rPr>
                <w:sz w:val="11"/>
                <w:szCs w:val="11"/>
                <w:color w:val="auto"/>
              </w:rPr>
            </w:pPr>
          </w:p>
        </w:tc>
        <w:tc>
          <w:tcPr>
            <w:tcW w:w="15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Pro Forma Statement of</w:t>
            </w:r>
          </w:p>
        </w:tc>
        <w:tc>
          <w:tcPr>
            <w:tcW w:w="0" w:type="dxa"/>
            <w:vAlign w:val="bottom"/>
          </w:tcPr>
          <w:p>
            <w:pPr>
              <w:spacing w:after="0"/>
              <w:rPr>
                <w:sz w:val="1"/>
                <w:szCs w:val="1"/>
                <w:color w:val="auto"/>
              </w:rPr>
            </w:pPr>
          </w:p>
        </w:tc>
      </w:tr>
      <w:tr>
        <w:trPr>
          <w:trHeight w:val="109"/>
        </w:trPr>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86"/>
        </w:trPr>
        <w:tc>
          <w:tcPr>
            <w:tcW w:w="43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48,804</w:t>
            </w:r>
          </w:p>
        </w:tc>
        <w:tc>
          <w:tcPr>
            <w:tcW w:w="10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86"/>
              <w:spacing w:after="0"/>
              <w:rPr>
                <w:sz w:val="20"/>
                <w:szCs w:val="20"/>
                <w:color w:val="auto"/>
              </w:rPr>
            </w:pPr>
            <w:r>
              <w:rPr>
                <w:rFonts w:ascii="Times New Roman" w:cs="Times New Roman" w:eastAsia="Times New Roman" w:hAnsi="Times New Roman"/>
                <w:sz w:val="18"/>
                <w:szCs w:val="18"/>
                <w:color w:val="auto"/>
              </w:rPr>
              <w:t xml:space="preserve">(544) </w:t>
            </w:r>
            <w:r>
              <w:rPr>
                <w:rFonts w:ascii="Times New Roman" w:cs="Times New Roman" w:eastAsia="Times New Roman" w:hAnsi="Times New Roman"/>
                <w:sz w:val="21"/>
                <w:szCs w:val="21"/>
                <w:color w:val="auto"/>
              </w:rPr>
              <w:t>a</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134,759</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138,370</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50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color w:val="auto"/>
              </w:rPr>
              <w:t>b</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148,902</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gross profit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286"/>
              <w:spacing w:after="0"/>
              <w:rPr>
                <w:sz w:val="20"/>
                <w:szCs w:val="20"/>
                <w:color w:val="auto"/>
              </w:rPr>
            </w:pPr>
            <w:r>
              <w:rPr>
                <w:rFonts w:ascii="Times New Roman" w:cs="Times New Roman" w:eastAsia="Times New Roman" w:hAnsi="Times New Roman"/>
                <w:sz w:val="18"/>
                <w:szCs w:val="18"/>
                <w:color w:val="auto"/>
              </w:rPr>
              <w:t>(177) b</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53,793</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 c</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74,776</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c</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137,514</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306"/>
              <w:spacing w:after="0"/>
              <w:rPr>
                <w:sz w:val="20"/>
                <w:szCs w:val="20"/>
                <w:color w:val="auto"/>
              </w:rPr>
            </w:pPr>
            <w:r>
              <w:rPr>
                <w:rFonts w:ascii="Times New Roman" w:cs="Times New Roman" w:eastAsia="Times New Roman" w:hAnsi="Times New Roman"/>
                <w:sz w:val="18"/>
                <w:szCs w:val="18"/>
                <w:color w:val="auto"/>
              </w:rPr>
              <w:t>(5,604) c</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86"/>
              <w:spacing w:after="0"/>
              <w:rPr>
                <w:sz w:val="20"/>
                <w:szCs w:val="20"/>
                <w:color w:val="auto"/>
              </w:rPr>
            </w:pPr>
            <w:r>
              <w:rPr>
                <w:rFonts w:ascii="Times New Roman" w:cs="Times New Roman" w:eastAsia="Times New Roman" w:hAnsi="Times New Roman"/>
                <w:sz w:val="18"/>
                <w:szCs w:val="18"/>
                <w:color w:val="auto"/>
              </w:rPr>
              <w:t>(5,121) d</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(251,954)</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(279,630)</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fair value of warrant and earn-out contingent</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41,372</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40,239</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(239,391)</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326"/>
              <w:spacing w:after="0"/>
              <w:rPr>
                <w:sz w:val="20"/>
                <w:szCs w:val="20"/>
                <w:color w:val="auto"/>
              </w:rPr>
            </w:pPr>
            <w:r>
              <w:rPr>
                <w:rFonts w:ascii="Times New Roman" w:cs="Times New Roman" w:eastAsia="Times New Roman" w:hAnsi="Times New Roman"/>
                <w:sz w:val="18"/>
                <w:szCs w:val="18"/>
                <w:color w:val="auto"/>
              </w:rPr>
              <w:t>(11,806) f</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0" w:type="dxa"/>
            <w:vAlign w:val="bottom"/>
          </w:tcPr>
          <w:p>
            <w:pPr>
              <w:spacing w:after="0"/>
              <w:rPr>
                <w:sz w:val="1"/>
                <w:szCs w:val="1"/>
                <w:color w:val="auto"/>
              </w:rPr>
            </w:pPr>
          </w:p>
        </w:tc>
      </w:tr>
      <w:tr>
        <w:trPr>
          <w:trHeight w:val="248"/>
        </w:trPr>
        <w:tc>
          <w:tcPr>
            <w:tcW w:w="4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(190,314)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291,318,351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84,751,381</w:t>
            </w:r>
          </w:p>
        </w:tc>
        <w:tc>
          <w:tcPr>
            <w:tcW w:w="5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376,069,732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347" w:right="339" w:bottom="1440" w:gutter="0" w:footer="0" w:header="0"/>
        </w:sectPr>
      </w:pPr>
    </w:p>
    <w:bookmarkStart w:id="31" w:name="page32"/>
    <w:bookmarkEnd w:id="31"/>
    <w:p>
      <w:pPr>
        <w:spacing w:after="0" w:line="14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INFORMATION</w:t>
      </w: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Acquisition</w:t>
      </w:r>
    </w:p>
    <w:p>
      <w:pPr>
        <w:spacing w:after="0" w:line="18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On April 29, 2022, the Company completed the Acquisition of GeneDx. At the closing of the Acquisition, the Company paid OPKO gross cash consideration of $150 million (before deduction of transaction expenses and other customary purchase price adjustments) and issued to OPKO 80 million shares of the Company’s Class A common stock ($172 million based on the closing date share price of $2.15 per share). A portion of this cash</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($13.4 million) and share consideration (8.3 million shares) will be held in escrow for 12 months following the closing date of the Acquisition. In addition, up to $150 million is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the Company’s Class A common stock (valued at $4.86 per share, subject to adjustment for stock splits and similar changes), with such mix to be determined in the Company’s sole discretion. Concurrently with the closing of the Acquisition, the Company also issued and sold in private placement 50,000,000 shares of the Company’s Class A common stock to certain institutional investors for aggregate gross proceeds of $200 million (the “</w:t>
      </w:r>
      <w:r>
        <w:rPr>
          <w:rFonts w:ascii="Times New Roman" w:cs="Times New Roman" w:eastAsia="Times New Roman" w:hAnsi="Times New Roman"/>
          <w:sz w:val="18"/>
          <w:szCs w:val="18"/>
          <w:i w:val="1"/>
          <w:iCs w:val="1"/>
          <w:color w:val="auto"/>
        </w:rPr>
        <w:t>Acquisition PIPE Investment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Times New Roman" w:cs="Times New Roman" w:eastAsia="Times New Roman" w:hAnsi="Times New Roman"/>
          <w:sz w:val="18"/>
          <w:szCs w:val="18"/>
          <w:i w:val="1"/>
          <w:iCs w:val="1"/>
          <w:color w:val="auto"/>
        </w:rPr>
        <w:t>Regulation S-X</w:t>
      </w:r>
      <w:r>
        <w:rPr>
          <w:rFonts w:ascii="Times New Roman" w:cs="Times New Roman" w:eastAsia="Times New Roman" w:hAnsi="Times New Roman"/>
          <w:sz w:val="18"/>
          <w:szCs w:val="18"/>
          <w:color w:val="auto"/>
        </w:rPr>
        <w:t>”), using accounting policies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financial statements should be read in conjunction with:</w:t>
      </w:r>
    </w:p>
    <w:p>
      <w:pPr>
        <w:spacing w:after="0" w:line="19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accompanying notes to the unaudited pro forma combined financial statements;</w:t>
      </w:r>
    </w:p>
    <w:p>
      <w:pPr>
        <w:spacing w:after="0" w:line="130" w:lineRule="exact"/>
        <w:rPr>
          <w:rFonts w:ascii="Times New Roman" w:cs="Times New Roman" w:eastAsia="Times New Roman" w:hAnsi="Times New Roman"/>
          <w:sz w:val="22"/>
          <w:szCs w:val="22"/>
          <w:color w:val="auto"/>
        </w:rPr>
      </w:pPr>
    </w:p>
    <w:p>
      <w:pPr>
        <w:ind w:left="660" w:right="1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financial statements of Sema4 for the six months ended June 30, 2022, and the related notes, in each case, included in the Company’s Quarterly Report on Form 10-Q and filed with the Securities and Exchange Commission on August 15, 2022; and</w:t>
      </w:r>
    </w:p>
    <w:p>
      <w:pPr>
        <w:spacing w:after="0" w:line="243"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unaudited combined carve out financial statements of GeneDx and subsidiary for the three months ended March 31, 2022, included as Exhibit 99.1 to the Form 8-K.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closing of the Acquisition, the Acquisition was accounted for using the acquisition method of accounting in accordance with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805 - 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are preliminary because valuation of the net assets is still being finalized. Accordingly, the pro forma adjustments related to the purchase price allocations and certain other estimates, assumptions, and adjustments are preliminary and subject to change, which changes could be significant.</w:t>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GeneDx Accounting Policies Historical Financial Information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GeneDx’s historical financial information was prepared in accordance with U.S. GAAP. Upon completion of the Acquisition, Sema4 performed certain procedures for the purposes of identifying material differences in significant accounting policies between Sema4 and GeneDx, and any accounting adjustments that would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adopting uniform policies. These procedures included a review of GeneDx’s standalone combined carve out financial statements and holding discussions with GeneDx management. Sema4 does not believe there are any differences in the accounting policies that will result in material adjustments to Sema4’s consolidated financial statements.</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Adjustments to Unaudited Pro Forma Combined 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included in the unaudited pro forma combined financial statements are as follows:</w:t>
      </w:r>
    </w:p>
    <w:p>
      <w:pPr>
        <w:spacing w:after="0" w:line="171" w:lineRule="exact"/>
        <w:rPr>
          <w:sz w:val="20"/>
          <w:szCs w:val="20"/>
          <w:color w:val="auto"/>
        </w:rPr>
      </w:pPr>
    </w:p>
    <w:p>
      <w:pPr>
        <w:ind w:left="660" w:hanging="328"/>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relates to intercompany revenue elimination for GeneDx revenue earned for services performed for BioReference Laboratories, Inc prior to the closing of the Acquisition.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8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relate to stock-based compensation expense for inducement awards granted to GeneDx employees. On May 2, 2022, the compensation committee of Sema4’s board of directors granted newly-hired GeneDx employees inducement stock options to purchase an aggregate of 4,932,132 shares of the Company’s Class A common stock and 4,285,208 restricted stock units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Chief Executive Officer, Chief Commercial Officer, and SVP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Chief Executive Officer, Chief Commercial Officer, and SVP Operations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Sema4's 2021 Equity Incentive Plan and the form of stock option agreement or RSU agreement under such plan, as applicable, covering the grant.</w:t>
      </w:r>
    </w:p>
    <w:p>
      <w:pPr>
        <w:spacing w:after="0" w:line="133" w:lineRule="exact"/>
        <w:rPr>
          <w:rFonts w:ascii="Times New Roman" w:cs="Times New Roman" w:eastAsia="Times New Roman" w:hAnsi="Times New Roman"/>
          <w:sz w:val="18"/>
          <w:szCs w:val="18"/>
          <w:color w:val="auto"/>
        </w:rPr>
      </w:pPr>
    </w:p>
    <w:p>
      <w:pPr>
        <w:ind w:left="660" w:hanging="328"/>
        <w:spacing w:after="0" w:line="282" w:lineRule="auto"/>
        <w:tabs>
          <w:tab w:leader="none" w:pos="6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Pre-Acquisition period amortization expense related to the legacy intangible assets was eliminated and replaced with revised amortization expense based on the fair value of intangible assets recorded in connection with the Acquisition.</w:t>
      </w:r>
    </w:p>
    <w:p>
      <w:pPr>
        <w:spacing w:after="0" w:line="10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(in millions) of GeneDx’s identifiable intangible assets and their estimated useful lives determined (in million):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Pr>
          <w:p>
            <w:pPr>
              <w:spacing w:after="0"/>
              <w:rPr>
                <w:sz w:val="16"/>
                <w:szCs w:val="16"/>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Annual Amortization</w:t>
            </w:r>
          </w:p>
        </w:tc>
      </w:tr>
      <w:tr>
        <w:trPr>
          <w:trHeight w:val="2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(General and administrative)</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 (General and administrative)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(Selling and marketing)</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r>
      <w:tr>
        <w:trPr>
          <w:trHeight w:val="228"/>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9"/>
                <w:szCs w:val="19"/>
                <w:color w:val="auto"/>
              </w:rPr>
            </w:pPr>
          </w:p>
        </w:tc>
      </w:tr>
    </w:tbl>
    <w:p>
      <w:pPr>
        <w:spacing w:after="0" w:line="233" w:lineRule="exact"/>
        <w:rPr>
          <w:sz w:val="20"/>
          <w:szCs w:val="20"/>
          <w:color w:val="auto"/>
        </w:rPr>
      </w:pPr>
    </w:p>
    <w:p>
      <w:pPr>
        <w:ind w:left="760" w:hanging="42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recorded a goodwill impairment charge of $5.1 million based on the difference between the carrying value of the business and its</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 based on the fair value of consideration expected to be paid. We deemed the adjustment appropriate as we do not carry over the legacy goodwill balance recorded.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pre-closing conditions, GeneDx exited a joint venture investment that had a carrying value of $0.2 million. Therefore, the related investment balance and impairment loss of $0.04 million is eliminated as the loss would have incurred prior to the January 1, 2022 pro forma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5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color w:val="auto"/>
        </w:rPr>
        <w:t>Adjustment relates to elimination of the income tax benefit of $11.8 million as we expect OPKO to absorb this benefit.</w:t>
      </w:r>
    </w:p>
    <w:p>
      <w:pPr>
        <w:sectPr>
          <w:pgSz w:w="11900" w:h="16838" w:orient="portrait"/>
          <w:cols w:equalWidth="0" w:num="1">
            <w:col w:w="9799"/>
          </w:cols>
          <w:pgMar w:left="6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6</w:t>
      </w:r>
    </w:p>
    <w:sectPr>
      <w:pgSz w:w="11900" w:h="16838" w:orient="portrait"/>
      <w:cols w:equalWidth="0" w:num="1">
        <w:col w:w="9799"/>
      </w:cols>
      <w:pgMar w:left="66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2"/>
    </w:lvl>
  </w:abstractNum>
  <w:abstractNum w:abstractNumId="2">
    <w:nsid w:val="79E2A9E3"/>
    <w:multiLevelType w:val="hybridMultilevel"/>
    <w:lvl w:ilvl="0">
      <w:lvlJc w:val="left"/>
      <w:lvlText w:val="(%1)"/>
      <w:numFmt w:val="lowerLetter"/>
      <w:start w:val="3"/>
    </w:lvl>
  </w:abstractNum>
  <w:abstractNum w:abstractNumId="3">
    <w:nsid w:val="7545E146"/>
    <w:multiLevelType w:val="hybridMultilevel"/>
    <w:lvl w:ilvl="0">
      <w:lvlJc w:val="left"/>
      <w:lvlText w:val="(%1)"/>
      <w:numFmt w:val="lowerLetter"/>
      <w:start w:val="1"/>
    </w:lvl>
    <w:lvl w:ilvl="1">
      <w:lvlJc w:val="left"/>
      <w:lvlText w:val="(%2)"/>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2022-08-26T18:20:21Z</dcterms:created>
  <dcterms:modified xsi:type="dcterms:W3CDTF">2022-08-26T18:20:21Z</dcterms:modified>
</cp:coreProperties>
</file>