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7512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75126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Eli</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900" w:type="dxa"/>
            <w:vAlign w:val="bottom"/>
            <w:tcBorders>
              <w:top w:val="single" w:sz="8" w:color="0000EE"/>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tcPr>
          <w:p>
            <w:pPr>
              <w:jc w:val="right"/>
              <w:ind w:right="75"/>
              <w:spacing w:after="0"/>
              <w:rPr>
                <w:sz w:val="20"/>
                <w:szCs w:val="20"/>
                <w:color w:val="auto"/>
              </w:rPr>
            </w:pPr>
            <w:r>
              <w:rPr>
                <w:rFonts w:ascii="Times New Roman" w:cs="Times New Roman" w:eastAsia="Times New Roman" w:hAnsi="Times New Roman"/>
                <w:sz w:val="17"/>
                <w:szCs w:val="17"/>
                <w:color w:val="0000FF"/>
              </w:rPr>
              <w:t>06/20/2024</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5,828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04"/>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7,593</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8"/>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333,144</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CMLS</w:t>
            </w:r>
          </w:p>
        </w:tc>
        <w:tc>
          <w:tcPr>
            <w:tcW w:w="0" w:type="dxa"/>
            <w:vAlign w:val="bottom"/>
          </w:tcPr>
          <w:p>
            <w:pPr>
              <w:spacing w:after="0"/>
              <w:rPr>
                <w:sz w:val="1"/>
                <w:szCs w:val="1"/>
                <w:color w:val="auto"/>
              </w:rPr>
            </w:pPr>
          </w:p>
        </w:tc>
      </w:tr>
      <w:tr>
        <w:trPr>
          <w:trHeight w:val="115"/>
        </w:trPr>
        <w:tc>
          <w:tcPr>
            <w:tcW w:w="250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93"/>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5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7"/>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8"/>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432,902</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5"/>
        </w:trPr>
        <w:tc>
          <w:tcPr>
            <w:tcW w:w="250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F01-</w:t>
            </w:r>
          </w:p>
        </w:tc>
        <w:tc>
          <w:tcPr>
            <w:tcW w:w="0" w:type="dxa"/>
            <w:vAlign w:val="bottom"/>
          </w:tcPr>
          <w:p>
            <w:pPr>
              <w:spacing w:after="0"/>
              <w:rPr>
                <w:sz w:val="1"/>
                <w:szCs w:val="1"/>
                <w:color w:val="auto"/>
              </w:rPr>
            </w:pPr>
          </w:p>
        </w:tc>
      </w:tr>
      <w:tr>
        <w:trPr>
          <w:trHeight w:val="93"/>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MSV,</w:t>
            </w:r>
          </w:p>
        </w:tc>
        <w:tc>
          <w:tcPr>
            <w:tcW w:w="0" w:type="dxa"/>
            <w:vAlign w:val="bottom"/>
          </w:tcPr>
          <w:p>
            <w:pPr>
              <w:spacing w:after="0"/>
              <w:rPr>
                <w:sz w:val="1"/>
                <w:szCs w:val="1"/>
                <w:color w:val="auto"/>
              </w:rPr>
            </w:pPr>
          </w:p>
        </w:tc>
      </w:tr>
      <w:tr>
        <w:trPr>
          <w:trHeight w:val="279"/>
        </w:trPr>
        <w:tc>
          <w:tcPr>
            <w:tcW w:w="25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line="272"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247"/>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26"/>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3,093,509</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Master</w:t>
      </w:r>
    </w:p>
    <w:p>
      <w:pPr>
        <w:spacing w:after="0" w:line="5"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Fund,</w:t>
      </w:r>
    </w:p>
    <w:p>
      <w:pPr>
        <w:ind w:left="10260"/>
        <w:spacing w:after="0" w:line="184" w:lineRule="auto"/>
        <w:rPr>
          <w:sz w:val="20"/>
          <w:szCs w:val="20"/>
          <w:color w:val="auto"/>
        </w:rPr>
      </w:pPr>
      <w:r>
        <w:rPr>
          <w:rFonts w:ascii="Times New Roman" w:cs="Times New Roman" w:eastAsia="Times New Roman" w:hAnsi="Times New Roman"/>
          <w:sz w:val="25"/>
          <w:szCs w:val="25"/>
          <w:color w:val="0000FF"/>
          <w:vertAlign w:val="subscript"/>
        </w:rPr>
        <w:t>LP</w:t>
      </w:r>
      <w:r>
        <w:rPr>
          <w:rFonts w:ascii="Times New Roman" w:cs="Times New Roman" w:eastAsia="Times New Roman" w:hAnsi="Times New Roman"/>
          <w:sz w:val="9"/>
          <w:szCs w:val="9"/>
          <w:color w:val="008000"/>
        </w:rPr>
        <w:t>(4)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5,828</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5,828</w:t>
            </w: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18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333,144 shares of Class A Common Stock reported in the table above are owned directly by CMLS Holdings LLC ("CMLS Holdings"). The Board of Managers of CMLS Holdings LLC is comprised of Mr. Casdin and Mr. Keith Meister who share voting and investment discretion with respect to the Class A common stock held of record by CMLS Holdings LLC. C-LSH LLC and M-LSH LLC are the members of CMLS Holdings LLC, and Messrs. Casdin and Meister are the managing members of C-LSH LLC and M-LSH LLC, respectively. As such, Mr. Casdin may be deemed to have or share beneficial ownership of the securities held directly by CMLS Holdings LLC. Each of C-LSH LLC and Mr. Casdin disclaims beneficial ownership of these shares except to the extent of its or his respective pecuniary interest therein.</w:t>
      </w:r>
    </w:p>
    <w:p>
      <w:pPr>
        <w:spacing w:after="0" w:line="28" w:lineRule="exact"/>
        <w:rPr>
          <w:rFonts w:ascii="Times New Roman" w:cs="Times New Roman" w:eastAsia="Times New Roman" w:hAnsi="Times New Roman"/>
          <w:sz w:val="13"/>
          <w:szCs w:val="13"/>
          <w:color w:val="008000"/>
        </w:r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432,902 shares of Class A Common Stock reported in the table above are owned directly by Casdin Partners FO1-MSV, LP and may be deemed to be indirectly beneficially owned by (i) Casdin Capital, LLC, the investment adviser to Casdin Partners FO1-MSV, LP, (ii) Casdin Partners GP, LLC, the general partner of Casdin Partners FO1-MSV, LP, and (iii) Mr. Casdin, the managing member of Casdin Capital, LLC and Casdin Partners GP, LLC. Each of Casdin Capital, LLC, Casdin Partners GP, LLC and Mr. Casdin disclaims beneficial ownership of such securities except to the extent of its or his respective pecuniary interest therein.</w:t>
      </w:r>
    </w:p>
    <w:p>
      <w:pPr>
        <w:spacing w:after="0" w:line="28" w:lineRule="exact"/>
        <w:rPr>
          <w:rFonts w:ascii="Times New Roman" w:cs="Times New Roman" w:eastAsia="Times New Roman" w:hAnsi="Times New Roman"/>
          <w:sz w:val="13"/>
          <w:szCs w:val="13"/>
          <w:color w:val="008000"/>
        </w:rPr>
      </w:pPr>
    </w:p>
    <w:p>
      <w:pPr>
        <w:jc w:val="both"/>
        <w:ind w:left="40" w:right="3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3,093,509 shares of Class A Common Stock reported in the table above are owned directly by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2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ectPr>
          <w:pgSz w:w="11900" w:h="16838" w:orient="portrait"/>
          <w:cols w:equalWidth="0" w:num="1">
            <w:col w:w="11080"/>
          </w:cols>
          <w:pgMar w:left="460" w:top="216" w:right="359" w:bottom="0" w:gutter="0" w:footer="0" w:header="0"/>
          <w:type w:val="continuous"/>
        </w:sectPr>
      </w:pPr>
    </w:p>
    <w:p>
      <w:pPr>
        <w:spacing w:after="0" w:line="4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/s/ Devin Schaffer, Attorney-</w:t>
      </w:r>
      <w:r>
        <w:rPr>
          <w:sz w:val="20"/>
          <w:szCs w:val="20"/>
          <w:color w:val="auto"/>
        </w:rPr>
        <w:tab/>
      </w:r>
      <w:r>
        <w:rPr>
          <w:rFonts w:ascii="Times New Roman" w:cs="Times New Roman" w:eastAsia="Times New Roman" w:hAnsi="Times New Roman"/>
          <w:sz w:val="16"/>
          <w:szCs w:val="16"/>
          <w:color w:val="0000FF"/>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884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-8255</wp:posOffset>
            </wp:positionV>
            <wp:extent cx="304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4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2024-06-24T18:05:48Z</dcterms:created>
  <dcterms:modified xsi:type="dcterms:W3CDTF">2024-06-24T18:05:48Z</dcterms:modified>
</cp:coreProperties>
</file>