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CURRENT REPORT</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Report (date of earliest event reported): May 4, 2026</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3035300</wp:posOffset>
            </wp:positionH>
            <wp:positionV relativeFrom="paragraph">
              <wp:posOffset>81915</wp:posOffset>
            </wp:positionV>
            <wp:extent cx="1097280" cy="251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280" cy="251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GeneDx Holdings Corp.</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300"/>
          </w:cols>
          <w:pgMar w:left="300" w:top="889" w:right="299" w:bottom="1440" w:gutter="0" w:footer="0" w:header="0"/>
        </w:sectPr>
      </w:pPr>
    </w:p>
    <w:p>
      <w:pPr>
        <w:spacing w:after="0" w:line="185"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85-1966622</w:t>
      </w:r>
    </w:p>
    <w:p>
      <w:pPr>
        <w:spacing w:after="0" w:line="49" w:lineRule="exact"/>
        <w:rPr>
          <w:sz w:val="24"/>
          <w:szCs w:val="24"/>
          <w:color w:val="auto"/>
        </w:rPr>
      </w:pPr>
    </w:p>
    <w:p>
      <w:pPr>
        <w:sectPr>
          <w:pgSz w:w="11900" w:h="16838" w:orient="portrait"/>
          <w:cols w:equalWidth="0" w:num="2">
            <w:col w:w="7460" w:space="720"/>
            <w:col w:w="3120"/>
          </w:cols>
          <w:pgMar w:left="300" w:top="889" w:right="29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2"/>
          <w:szCs w:val="12"/>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76" w:lineRule="exact"/>
        <w:rPr>
          <w:sz w:val="24"/>
          <w:szCs w:val="24"/>
          <w:color w:val="auto"/>
        </w:rPr>
      </w:pPr>
    </w:p>
    <w:p>
      <w:pPr>
        <w:sectPr>
          <w:pgSz w:w="11900" w:h="16838" w:orient="portrait"/>
          <w:cols w:equalWidth="0" w:num="2">
            <w:col w:w="6880" w:space="720"/>
            <w:col w:w="3700"/>
          </w:cols>
          <w:pgMar w:left="300" w:top="889" w:right="29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333 Ludlow Street, North Tower; 6th Floor</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Stamford, Connecticut 06902</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(Address of Principal Executive Offices) (Zip Code)</w:t>
      </w:r>
    </w:p>
    <w:p>
      <w:pPr>
        <w:sectPr>
          <w:pgSz w:w="11900" w:h="16838" w:orient="portrait"/>
          <w:cols w:equalWidth="0" w:num="1">
            <w:col w:w="11300"/>
          </w:cols>
          <w:pgMar w:left="300" w:top="889" w:right="299" w:bottom="1440" w:gutter="0" w:footer="0" w:header="0"/>
          <w:type w:val="continuous"/>
        </w:sectPr>
      </w:pP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(888) 729-1206</w:t>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14" w:lineRule="exact"/>
        <w:rPr>
          <w:sz w:val="24"/>
          <w:szCs w:val="24"/>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13e-4(c) under the Exchange Act (17 CFR 240.13e-4(c))</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5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207"/>
        </w:trPr>
        <w:tc>
          <w:tcPr>
            <w:tcW w:w="5260" w:type="dxa"/>
            <w:vAlign w:val="bottom"/>
            <w:gridSpan w:val="2"/>
          </w:tcPr>
          <w:p>
            <w:pPr>
              <w:ind w:left="214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4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0"/>
        </w:trPr>
        <w:tc>
          <w:tcPr>
            <w:tcW w:w="5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Class A common stock, par value $0.0001 per share</w:t>
            </w:r>
          </w:p>
        </w:tc>
        <w:tc>
          <w:tcPr>
            <w:tcW w:w="60" w:type="dxa"/>
            <w:vAlign w:val="bottom"/>
          </w:tcPr>
          <w:p>
            <w:pPr>
              <w:spacing w:after="0"/>
              <w:rPr>
                <w:sz w:val="12"/>
                <w:szCs w:val="12"/>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WGS</w:t>
            </w:r>
          </w:p>
        </w:tc>
        <w:tc>
          <w:tcPr>
            <w:tcW w:w="80" w:type="dxa"/>
            <w:vAlign w:val="bottom"/>
          </w:tcPr>
          <w:p>
            <w:pPr>
              <w:spacing w:after="0"/>
              <w:rPr>
                <w:sz w:val="12"/>
                <w:szCs w:val="12"/>
                <w:color w:val="auto"/>
              </w:rPr>
            </w:pPr>
          </w:p>
        </w:tc>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r>
        <w:trPr>
          <w:trHeight w:val="155"/>
        </w:trPr>
        <w:tc>
          <w:tcPr>
            <w:tcW w:w="5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Warrants to purchase one share of Class A common stock, each at an exercise price of $379.50 per share</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WGSWW</w:t>
            </w:r>
          </w:p>
        </w:tc>
        <w:tc>
          <w:tcPr>
            <w:tcW w:w="4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160" w:lineRule="exact"/>
        <w:rPr>
          <w:sz w:val="24"/>
          <w:szCs w:val="24"/>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231F20"/>
        </w:rPr>
        <w:t xml:space="preserve">Emerging growth company </w:t>
      </w:r>
      <w:r>
        <w:rPr>
          <w:rFonts w:ascii="MS PGothic" w:cs="MS PGothic" w:eastAsia="MS PGothic" w:hAnsi="MS PGothic"/>
          <w:sz w:val="12"/>
          <w:szCs w:val="12"/>
          <w:color w:val="000000"/>
        </w:rPr>
        <w:t>☐</w:t>
      </w:r>
    </w:p>
    <w:p>
      <w:pPr>
        <w:spacing w:after="0" w:line="142"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536575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9" w:right="299" w:bottom="1440" w:gutter="0" w:footer="0" w:header="0"/>
          <w:type w:val="continuous"/>
        </w:sectPr>
      </w:pPr>
    </w:p>
    <w:bookmarkStart w:id="1" w:name="page2"/>
    <w:bookmarkEnd w:id="1"/>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2"/>
          <w:szCs w:val="12"/>
          <w:b w:val="1"/>
          <w:bCs w:val="1"/>
          <w:color w:val="auto"/>
        </w:rPr>
        <w:t>Results of Operations and Financial Condition.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Financial Results for the Quarter Ended March 31, 2026</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May 4, 2026, GeneDx Holdings Corp. (the “Company”) issued a press release (the “Press Release”) and will hold a conference call announcing the Company's financial results for the quarter ended March 31, 2026. Copies of the Press Release and Earnings Presentation are furnished as Exhibits 99.1 and 99.3, respectively, to this Current Report on Form 8-K.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Consolidated Statements of Operations and Comprehensive Loss Presentation Change</w:t>
      </w:r>
    </w:p>
    <w:p>
      <w:pPr>
        <w:spacing w:after="0" w:line="1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Beginning with the quarter ended March 31, 2026, the Company has combined the previously separate line items for (i) selling and marketing and (ii) general and administrative into a single consolidated line item titled “selling, general and administrative” in the consolidated statements of operations and comprehensive loss. This is a change in presentation only and has no impact on the Company’s previously reported financial results for the current or any prior period.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Modification of Non-GAAP Financial Measure Methodology</w:t>
      </w:r>
    </w:p>
    <w:p>
      <w:pPr>
        <w:spacing w:after="0" w:line="11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Beginning with the fiscal quarter ended March 31, 2026, the Company has modified its methodology for adjusted net income (loss), a non-GAAP financial measure, to include an adjustment for non-core lease costs. Non-core lease costs represent occupancy and related expenses associated with vacant laboratory facilities and office space in Connecticut that are no longer utilized as part of the Company’s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Prior Period Supplemental Financial Information</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To provide comparability with the changes in current period presentation and non-GAAP methodology described above, the Company is furnishing recast unaudited financial information as Exhibit 99.2 to this Current Report on Form 8-K. This unaudited supplemental financial information covers the fiscal year ended December 31, 2025 and each of the interim periods within that year and reflects (1) the reclassification of the previously separate “selling and marketing” and “general and administrative” line items into the combined “selling, general and administrative” line item, and (2) the recalculation of adjusted net income (loss) for all prior periods presented to include the adjustment for non-core lease costs. This recast of prior period financial information is not a restatement of previous financial statements and does not affect the Company’s GAAP results for any previously reported periods.</w:t>
      </w:r>
    </w:p>
    <w:p>
      <w:pPr>
        <w:spacing w:after="0" w:line="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information furnished with this Item 2.02, including Exhibits 99.1, 99.2, and 99.3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5060" w:type="dxa"/>
            <w:vAlign w:val="bottom"/>
          </w:tcPr>
          <w:p>
            <w:pPr>
              <w:spacing w:after="0"/>
              <w:rPr>
                <w:sz w:val="13"/>
                <w:szCs w:val="13"/>
                <w:color w:val="auto"/>
              </w:rPr>
            </w:pPr>
          </w:p>
        </w:tc>
      </w:tr>
      <w:tr>
        <w:trPr>
          <w:trHeight w:val="261"/>
        </w:trPr>
        <w:tc>
          <w:tcPr>
            <w:tcW w:w="300" w:type="dxa"/>
            <w:vAlign w:val="bottom"/>
          </w:tcPr>
          <w:p>
            <w:pPr>
              <w:spacing w:after="0"/>
              <w:rPr>
                <w:sz w:val="22"/>
                <w:szCs w:val="22"/>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10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0"/>
        </w:trPr>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232"/>
        </w:trPr>
        <w:tc>
          <w:tcPr>
            <w:tcW w:w="30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99.1</w:t>
            </w:r>
          </w:p>
        </w:tc>
        <w:tc>
          <w:tcPr>
            <w:tcW w:w="340" w:type="dxa"/>
            <w:vAlign w:val="bottom"/>
          </w:tcPr>
          <w:p>
            <w:pPr>
              <w:spacing w:after="0"/>
              <w:rPr>
                <w:sz w:val="20"/>
                <w:szCs w:val="20"/>
                <w:color w:val="auto"/>
              </w:rPr>
            </w:pPr>
          </w:p>
        </w:tc>
        <w:tc>
          <w:tcPr>
            <w:tcW w:w="50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w w:val="99"/>
              </w:rPr>
              <w:t>Press Release, dated May 4, 2026, regarding the registrant’s results for the quarter ended March 31, 2026</w:t>
            </w:r>
          </w:p>
        </w:tc>
        <w:tc>
          <w:tcPr>
            <w:tcW w:w="5060" w:type="dxa"/>
            <w:vAlign w:val="bottom"/>
          </w:tcPr>
          <w:p>
            <w:pPr>
              <w:spacing w:after="0"/>
              <w:rPr>
                <w:sz w:val="20"/>
                <w:szCs w:val="20"/>
                <w:color w:val="auto"/>
              </w:rPr>
            </w:pPr>
          </w:p>
        </w:tc>
      </w:tr>
      <w:tr>
        <w:trPr>
          <w:trHeight w:val="160"/>
        </w:trPr>
        <w:tc>
          <w:tcPr>
            <w:tcW w:w="860" w:type="dxa"/>
            <w:vAlign w:val="bottom"/>
            <w:gridSpan w:val="2"/>
          </w:tcPr>
          <w:p>
            <w:pPr>
              <w:jc w:val="center"/>
              <w:ind w:left="260"/>
              <w:spacing w:after="0"/>
              <w:rPr>
                <w:sz w:val="20"/>
                <w:szCs w:val="20"/>
                <w:color w:val="auto"/>
              </w:rPr>
            </w:pPr>
            <w:r>
              <w:rPr>
                <w:rFonts w:ascii="Times New Roman" w:cs="Times New Roman" w:eastAsia="Times New Roman" w:hAnsi="Times New Roman"/>
                <w:sz w:val="12"/>
                <w:szCs w:val="12"/>
                <w:color w:val="auto"/>
              </w:rPr>
              <w:t>99.2</w:t>
            </w:r>
          </w:p>
        </w:tc>
        <w:tc>
          <w:tcPr>
            <w:tcW w:w="340" w:type="dxa"/>
            <w:vAlign w:val="bottom"/>
          </w:tcPr>
          <w:p>
            <w:pPr>
              <w:spacing w:after="0"/>
              <w:rPr>
                <w:sz w:val="13"/>
                <w:szCs w:val="13"/>
                <w:color w:val="auto"/>
              </w:rPr>
            </w:pPr>
          </w:p>
        </w:tc>
        <w:tc>
          <w:tcPr>
            <w:tcW w:w="1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8"/>
              </w:rPr>
              <w:t>Supplemental Financial Information</w:t>
            </w:r>
          </w:p>
        </w:tc>
        <w:tc>
          <w:tcPr>
            <w:tcW w:w="8360" w:type="dxa"/>
            <w:vAlign w:val="bottom"/>
            <w:gridSpan w:val="3"/>
          </w:tcPr>
          <w:p>
            <w:pPr>
              <w:spacing w:after="0"/>
              <w:rPr>
                <w:sz w:val="13"/>
                <w:szCs w:val="13"/>
                <w:color w:val="auto"/>
              </w:rPr>
            </w:pPr>
          </w:p>
        </w:tc>
      </w:tr>
      <w:tr>
        <w:trPr>
          <w:trHeight w:val="160"/>
        </w:trPr>
        <w:tc>
          <w:tcPr>
            <w:tcW w:w="860" w:type="dxa"/>
            <w:vAlign w:val="bottom"/>
            <w:gridSpan w:val="2"/>
          </w:tcPr>
          <w:p>
            <w:pPr>
              <w:jc w:val="center"/>
              <w:ind w:left="260"/>
              <w:spacing w:after="0"/>
              <w:rPr>
                <w:sz w:val="20"/>
                <w:szCs w:val="20"/>
                <w:color w:val="auto"/>
              </w:rPr>
            </w:pPr>
            <w:r>
              <w:rPr>
                <w:rFonts w:ascii="Times New Roman" w:cs="Times New Roman" w:eastAsia="Times New Roman" w:hAnsi="Times New Roman"/>
                <w:sz w:val="12"/>
                <w:szCs w:val="12"/>
                <w:color w:val="auto"/>
              </w:rPr>
              <w:t>99.3</w:t>
            </w:r>
          </w:p>
        </w:tc>
        <w:tc>
          <w:tcPr>
            <w:tcW w:w="340" w:type="dxa"/>
            <w:vAlign w:val="bottom"/>
          </w:tcPr>
          <w:p>
            <w:pPr>
              <w:spacing w:after="0"/>
              <w:rPr>
                <w:sz w:val="13"/>
                <w:szCs w:val="13"/>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2"/>
                <w:szCs w:val="12"/>
                <w:color w:val="0000FF"/>
              </w:rPr>
              <w:t>Earnings Presentation, dated May 4, 2026</w:t>
            </w:r>
          </w:p>
        </w:tc>
      </w:tr>
      <w:tr>
        <w:trPr>
          <w:trHeight w:val="970"/>
        </w:trPr>
        <w:tc>
          <w:tcPr>
            <w:tcW w:w="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7040" w:type="dxa"/>
            <w:vAlign w:val="bottom"/>
            <w:gridSpan w:val="2"/>
          </w:tcPr>
          <w:p>
            <w:pPr>
              <w:ind w:left="1860"/>
              <w:spacing w:after="0"/>
              <w:rPr>
                <w:sz w:val="20"/>
                <w:szCs w:val="20"/>
                <w:color w:val="auto"/>
              </w:rPr>
            </w:pPr>
            <w:r>
              <w:rPr>
                <w:rFonts w:ascii="Times New Roman" w:cs="Times New Roman" w:eastAsia="Times New Roman" w:hAnsi="Times New Roman"/>
                <w:sz w:val="12"/>
                <w:szCs w:val="12"/>
                <w:b w:val="1"/>
                <w:bCs w:val="1"/>
                <w:color w:val="auto"/>
              </w:rPr>
              <w:t>GENEDX HOLDINGS CORP.</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27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May 4, 2026</w:t>
            </w:r>
          </w:p>
        </w:tc>
        <w:tc>
          <w:tcPr>
            <w:tcW w:w="2700" w:type="dxa"/>
            <w:vAlign w:val="bottom"/>
          </w:tcPr>
          <w:p>
            <w:pPr>
              <w:ind w:left="1860"/>
              <w:spacing w:after="0"/>
              <w:rPr>
                <w:sz w:val="20"/>
                <w:szCs w:val="20"/>
                <w:color w:val="auto"/>
              </w:rPr>
            </w:pPr>
            <w:r>
              <w:rPr>
                <w:rFonts w:ascii="Times New Roman" w:cs="Times New Roman" w:eastAsia="Times New Roman" w:hAnsi="Times New Roman"/>
                <w:sz w:val="12"/>
                <w:szCs w:val="12"/>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Katherine Stueland</w:t>
            </w:r>
          </w:p>
        </w:tc>
      </w:tr>
      <w:tr>
        <w:trPr>
          <w:trHeight w:val="140"/>
        </w:trPr>
        <w:tc>
          <w:tcPr>
            <w:tcW w:w="5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700" w:type="dxa"/>
            <w:vAlign w:val="bottom"/>
          </w:tcPr>
          <w:p>
            <w:pPr>
              <w:ind w:left="1860"/>
              <w:spacing w:after="0"/>
              <w:rPr>
                <w:sz w:val="20"/>
                <w:szCs w:val="20"/>
                <w:color w:val="auto"/>
              </w:rPr>
            </w:pPr>
            <w:r>
              <w:rPr>
                <w:rFonts w:ascii="Times New Roman" w:cs="Times New Roman" w:eastAsia="Times New Roman" w:hAnsi="Times New Roman"/>
                <w:sz w:val="12"/>
                <w:szCs w:val="12"/>
                <w:color w:val="auto"/>
              </w:rPr>
              <w:t>Name:</w:t>
            </w:r>
          </w:p>
        </w:tc>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Katherine Stueland</w:t>
            </w:r>
          </w:p>
        </w:tc>
      </w:tr>
      <w:tr>
        <w:trPr>
          <w:trHeight w:val="155"/>
        </w:trPr>
        <w:tc>
          <w:tcPr>
            <w:tcW w:w="5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700" w:type="dxa"/>
            <w:vAlign w:val="bottom"/>
          </w:tcPr>
          <w:p>
            <w:pPr>
              <w:ind w:left="1860"/>
              <w:spacing w:after="0"/>
              <w:rPr>
                <w:sz w:val="20"/>
                <w:szCs w:val="20"/>
                <w:color w:val="auto"/>
              </w:rPr>
            </w:pPr>
            <w:r>
              <w:rPr>
                <w:rFonts w:ascii="Times New Roman" w:cs="Times New Roman" w:eastAsia="Times New Roman" w:hAnsi="Times New Roman"/>
                <w:sz w:val="12"/>
                <w:szCs w:val="12"/>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bl>
    <w:p>
      <w:pPr>
        <w:sectPr>
          <w:pgSz w:w="11900" w:h="16838" w:orient="portrait"/>
          <w:cols w:equalWidth="0" w:num="1">
            <w:col w:w="10380"/>
          </w:cols>
          <w:pgMar w:left="300" w:top="665" w:right="12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81915</wp:posOffset>
            </wp:positionV>
            <wp:extent cx="982980" cy="228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22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GeneDx Reports First Quarter 2026 Financial Results and Updates Full-Year Outlook</w:t>
      </w:r>
    </w:p>
    <w:p>
      <w:pPr>
        <w:spacing w:after="0" w:line="114"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Reported first quarter 2026 revenue of $102.3 million with 27% year-over-year growth in exome and genome revenue</w:t>
      </w:r>
    </w:p>
    <w:p>
      <w:pPr>
        <w:spacing w:after="0" w:line="114"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Reported exome and genome volume growth of 34% year-over-year</w:t>
      </w:r>
    </w:p>
    <w:p>
      <w:pPr>
        <w:spacing w:after="0" w:line="112"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Reported adjusted gross margin</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 xml:space="preserve"> of 69% and adjusted net loss</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 xml:space="preserve"> of $8.2 million</w:t>
      </w:r>
    </w:p>
    <w:p>
      <w:pPr>
        <w:spacing w:after="0" w:line="81"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Updating full-year 2026 revenue guidance to $475 to $490 million with exome and genome volume growth of at least 30%</w:t>
      </w:r>
    </w:p>
    <w:p>
      <w:pPr>
        <w:spacing w:after="0" w:line="114"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Hosting conference call today at 4:30 p.m. ET</w:t>
      </w:r>
    </w:p>
    <w:p>
      <w:pPr>
        <w:spacing w:after="0" w:line="3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GAITHERSBURG, Md., May 4, 2026 — </w:t>
      </w:r>
      <w:r>
        <w:rPr>
          <w:rFonts w:ascii="Times New Roman" w:cs="Times New Roman" w:eastAsia="Times New Roman" w:hAnsi="Times New Roman"/>
          <w:sz w:val="12"/>
          <w:szCs w:val="12"/>
          <w:color w:val="auto"/>
        </w:rPr>
        <w:t>GeneDx Holdings Corp. (Nasdaq: WGS), the leader in rare disease diagnosis and improving health through the power of genomic data, today reported its financial results for the first quarter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2026.</w:t>
      </w:r>
    </w:p>
    <w:p>
      <w:pPr>
        <w:spacing w:after="0" w:line="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“GeneDx delivered 34% year-over-year volume growth in exome and genome testing in the first quarter – a clear signal that there’s sustained, strong demand for our services. While our revenue did not reflect the full potential of what this business is capable of, we are adjusting our outlook and are poised to deliver more than 30% volume growth, 70% gross margin, and profitability on an adjusted basis for the year,” said Katherine Stueland, CEO of GeneDx. “Leading a generational shift in medicine requires taking some big swings, learning quickly, and moving with urgency to serve this ever-growing patient population. With expectations reset, we’ve never been more confident about our ability to deliver profitable growth in service of patients and shareholders.”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First Quarter 2026 Financial Results (Unaudited)</w:t>
      </w:r>
      <w:r>
        <w:rPr>
          <w:rFonts w:ascii="Times New Roman" w:cs="Times New Roman" w:eastAsia="Times New Roman" w:hAnsi="Times New Roman"/>
          <w:sz w:val="15"/>
          <w:szCs w:val="15"/>
          <w:b w:val="1"/>
          <w:bCs w:val="1"/>
          <w:color w:val="auto"/>
          <w:vertAlign w:val="superscript"/>
        </w:rPr>
        <w:t>(1)</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118"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 grew to $102.3 million, an increase of 17% year-over-year.</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test revenue grew to $90.6 million, an increase of 27% year-over-year.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Exome and genome volume</w:t>
      </w:r>
    </w:p>
    <w:p>
      <w:pPr>
        <w:spacing w:after="0" w:line="118"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test result volume grew to 27,488, an increase of 34% year-over-year.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Gross margin</w:t>
      </w:r>
    </w:p>
    <w:p>
      <w:pPr>
        <w:spacing w:after="0" w:line="118"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gross margin remained flat at 69% in the first quarter of 2026.</w:t>
      </w:r>
    </w:p>
    <w:p>
      <w:pPr>
        <w:spacing w:after="0" w:line="1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gross margin was 67%.</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118"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total operating expenses were $78.1 million, representing 76% of revenue.</w:t>
      </w:r>
    </w:p>
    <w:p>
      <w:pPr>
        <w:spacing w:after="0" w:line="1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GAAP operating expenses were $94.4 million.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(loss) income</w:t>
      </w:r>
    </w:p>
    <w:p>
      <w:pPr>
        <w:spacing w:after="0" w:line="118"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net loss was $8.2 million compared to adjusted net income of $9.2 million in the first quarter of 2025.</w:t>
      </w:r>
    </w:p>
    <w:p>
      <w:pPr>
        <w:spacing w:after="0" w:line="1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net loss was $63.3 million.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Cash position</w:t>
      </w:r>
    </w:p>
    <w:p>
      <w:pPr>
        <w:spacing w:after="0" w:line="118" w:lineRule="exact"/>
        <w:rPr>
          <w:sz w:val="20"/>
          <w:szCs w:val="20"/>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cash equivalents, marketable securities and restricted cash was $171.7 million as of March 31, 2026.</w:t>
      </w:r>
    </w:p>
    <w:p>
      <w:pPr>
        <w:spacing w:after="0" w:line="164" w:lineRule="exact"/>
        <w:rPr>
          <w:sz w:val="20"/>
          <w:szCs w:val="20"/>
          <w:color w:val="auto"/>
        </w:rPr>
      </w:pPr>
    </w:p>
    <w:p>
      <w:pPr>
        <w:ind w:left="420" w:hanging="212"/>
        <w:spacing w:after="0"/>
        <w:tabs>
          <w:tab w:leader="none" w:pos="420"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Adjusted gross margin, adjusted total operating expenses and adjusted net (loss) income are non-GAAP financial measures. See appendix for a reconciliation of GAAP to non-GAAP figures presented.</w:t>
      </w:r>
    </w:p>
    <w:p>
      <w:pPr>
        <w:sectPr>
          <w:pgSz w:w="11900" w:h="16838" w:orient="portrait"/>
          <w:cols w:equalWidth="0" w:num="1">
            <w:col w:w="11300"/>
          </w:cols>
          <w:pgMar w:left="300" w:top="125"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59"/>
        </w:trPr>
        <w:tc>
          <w:tcPr>
            <w:tcW w:w="42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Updated 2026 Guidance</w:t>
            </w: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252"/>
        </w:trPr>
        <w:tc>
          <w:tcPr>
            <w:tcW w:w="42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GeneDx has updated its 2026 guidance. Management now expects GeneDx to deliver:</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60" w:type="dxa"/>
            <w:vAlign w:val="bottom"/>
          </w:tcPr>
          <w:p>
            <w:pPr>
              <w:spacing w:after="0"/>
              <w:rPr>
                <w:sz w:val="21"/>
                <w:szCs w:val="21"/>
                <w:color w:val="auto"/>
              </w:rPr>
            </w:pPr>
          </w:p>
        </w:tc>
      </w:tr>
      <w:tr>
        <w:trPr>
          <w:trHeight w:val="273"/>
        </w:trPr>
        <w:tc>
          <w:tcPr>
            <w:tcW w:w="3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900" w:type="dxa"/>
            <w:vAlign w:val="bottom"/>
            <w:gridSpan w:val="2"/>
          </w:tcPr>
          <w:p>
            <w:pPr>
              <w:jc w:val="center"/>
              <w:ind w:right="740"/>
              <w:spacing w:after="0"/>
              <w:rPr>
                <w:sz w:val="20"/>
                <w:szCs w:val="20"/>
                <w:color w:val="auto"/>
              </w:rPr>
            </w:pPr>
            <w:r>
              <w:rPr>
                <w:rFonts w:ascii="Times New Roman" w:cs="Times New Roman" w:eastAsia="Times New Roman" w:hAnsi="Times New Roman"/>
                <w:sz w:val="12"/>
                <w:szCs w:val="12"/>
                <w:b w:val="1"/>
                <w:bCs w:val="1"/>
                <w:color w:val="auto"/>
                <w:w w:val="99"/>
              </w:rPr>
              <w:t>Full Year 2026</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Full Year 2026</w:t>
            </w:r>
          </w:p>
        </w:tc>
        <w:tc>
          <w:tcPr>
            <w:tcW w:w="2660" w:type="dxa"/>
            <w:vAlign w:val="bottom"/>
          </w:tcPr>
          <w:p>
            <w:pPr>
              <w:spacing w:after="0"/>
              <w:rPr>
                <w:sz w:val="23"/>
                <w:szCs w:val="23"/>
                <w:color w:val="auto"/>
              </w:rPr>
            </w:pPr>
          </w:p>
        </w:tc>
      </w:tr>
      <w:tr>
        <w:trPr>
          <w:trHeight w:val="168"/>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Metric</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w w:val="98"/>
              </w:rPr>
              <w:t>Previous Guidance</w:t>
            </w:r>
          </w:p>
        </w:tc>
        <w:tc>
          <w:tcPr>
            <w:tcW w:w="80" w:type="dxa"/>
            <w:vAlign w:val="bottom"/>
            <w:tcBorders>
              <w:bottom w:val="single" w:sz="8" w:color="CCEEFF"/>
            </w:tcBorders>
          </w:tcPr>
          <w:p>
            <w:pPr>
              <w:spacing w:after="0"/>
              <w:rPr>
                <w:sz w:val="14"/>
                <w:szCs w:val="14"/>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Updated Guidance</w:t>
            </w:r>
          </w:p>
        </w:tc>
        <w:tc>
          <w:tcPr>
            <w:tcW w:w="60" w:type="dxa"/>
            <w:vAlign w:val="bottom"/>
            <w:tcBorders>
              <w:bottom w:val="single" w:sz="8" w:color="CCEEFF"/>
            </w:tcBorders>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Second Quarter of 2026 Guidance</w:t>
            </w:r>
          </w:p>
        </w:tc>
      </w:tr>
      <w:tr>
        <w:trPr>
          <w:trHeight w:val="178"/>
        </w:trPr>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1900" w:type="dxa"/>
            <w:vAlign w:val="bottom"/>
            <w:gridSpan w:val="2"/>
            <w:shd w:val="clear" w:color="auto" w:fill="CCEEFF"/>
          </w:tcPr>
          <w:p>
            <w:pPr>
              <w:jc w:val="center"/>
              <w:ind w:right="740"/>
              <w:spacing w:after="0"/>
              <w:rPr>
                <w:sz w:val="20"/>
                <w:szCs w:val="20"/>
                <w:color w:val="auto"/>
              </w:rPr>
            </w:pPr>
            <w:r>
              <w:rPr>
                <w:rFonts w:ascii="Times New Roman" w:cs="Times New Roman" w:eastAsia="Times New Roman" w:hAnsi="Times New Roman"/>
                <w:sz w:val="12"/>
                <w:szCs w:val="12"/>
                <w:color w:val="auto"/>
                <w:w w:val="98"/>
              </w:rPr>
              <w:t>$540 to $555 million</w:t>
            </w:r>
          </w:p>
        </w:tc>
        <w:tc>
          <w:tcPr>
            <w:tcW w:w="25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98"/>
              </w:rPr>
              <w:t>$475 to $490 million</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$110 to $112 million</w:t>
            </w:r>
          </w:p>
        </w:tc>
      </w:tr>
      <w:tr>
        <w:trPr>
          <w:trHeight w:val="171"/>
        </w:trPr>
        <w:tc>
          <w:tcPr>
            <w:tcW w:w="42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Growth in exome and genome volume</w:t>
            </w:r>
          </w:p>
        </w:tc>
        <w:tc>
          <w:tcPr>
            <w:tcW w:w="1900" w:type="dxa"/>
            <w:vAlign w:val="bottom"/>
            <w:gridSpan w:val="2"/>
          </w:tcPr>
          <w:p>
            <w:pPr>
              <w:jc w:val="center"/>
              <w:ind w:right="740"/>
              <w:spacing w:after="0"/>
              <w:rPr>
                <w:sz w:val="20"/>
                <w:szCs w:val="20"/>
                <w:color w:val="auto"/>
              </w:rPr>
            </w:pPr>
            <w:r>
              <w:rPr>
                <w:rFonts w:ascii="Times New Roman" w:cs="Times New Roman" w:eastAsia="Times New Roman" w:hAnsi="Times New Roman"/>
                <w:sz w:val="12"/>
                <w:szCs w:val="12"/>
                <w:color w:val="auto"/>
              </w:rPr>
              <w:t>33% to 35%</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At least 30%</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Approximately 30,000 tests</w:t>
            </w:r>
          </w:p>
        </w:tc>
      </w:tr>
      <w:tr>
        <w:trPr>
          <w:trHeight w:val="189"/>
        </w:trPr>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Growth in exome and genome revenue</w:t>
            </w:r>
          </w:p>
        </w:tc>
        <w:tc>
          <w:tcPr>
            <w:tcW w:w="1900" w:type="dxa"/>
            <w:vAlign w:val="bottom"/>
            <w:gridSpan w:val="2"/>
            <w:shd w:val="clear" w:color="auto" w:fill="CCEEFF"/>
          </w:tcPr>
          <w:p>
            <w:pPr>
              <w:jc w:val="center"/>
              <w:ind w:right="740"/>
              <w:spacing w:after="0"/>
              <w:rPr>
                <w:sz w:val="20"/>
                <w:szCs w:val="20"/>
                <w:color w:val="auto"/>
              </w:rPr>
            </w:pPr>
            <w:r>
              <w:rPr>
                <w:rFonts w:ascii="Times New Roman" w:cs="Times New Roman" w:eastAsia="Times New Roman" w:hAnsi="Times New Roman"/>
                <w:sz w:val="12"/>
                <w:szCs w:val="12"/>
                <w:color w:val="auto"/>
              </w:rPr>
              <w:t>33% to 35%</w:t>
            </w:r>
          </w:p>
        </w:tc>
        <w:tc>
          <w:tcPr>
            <w:tcW w:w="2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9"/>
              </w:rPr>
              <w:t>At least 20%</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Approximately $100 million</w:t>
            </w:r>
          </w:p>
        </w:tc>
      </w:tr>
      <w:tr>
        <w:trPr>
          <w:trHeight w:val="171"/>
        </w:trPr>
        <w:tc>
          <w:tcPr>
            <w:tcW w:w="42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Adjusted gross margin</w:t>
            </w:r>
          </w:p>
        </w:tc>
        <w:tc>
          <w:tcPr>
            <w:tcW w:w="1900" w:type="dxa"/>
            <w:vAlign w:val="bottom"/>
            <w:gridSpan w:val="2"/>
          </w:tcPr>
          <w:p>
            <w:pPr>
              <w:jc w:val="center"/>
              <w:ind w:right="740"/>
              <w:spacing w:after="0"/>
              <w:rPr>
                <w:sz w:val="20"/>
                <w:szCs w:val="20"/>
                <w:color w:val="auto"/>
              </w:rPr>
            </w:pPr>
            <w:r>
              <w:rPr>
                <w:rFonts w:ascii="Times New Roman" w:cs="Times New Roman" w:eastAsia="Times New Roman" w:hAnsi="Times New Roman"/>
                <w:sz w:val="12"/>
                <w:szCs w:val="12"/>
                <w:color w:val="auto"/>
                <w:w w:val="96"/>
              </w:rPr>
              <w:t>At least 70%</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Approximately 70%</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Approximately 70%</w:t>
            </w:r>
          </w:p>
        </w:tc>
      </w:tr>
      <w:tr>
        <w:trPr>
          <w:trHeight w:val="189"/>
        </w:trPr>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net income (loss)</w:t>
            </w:r>
          </w:p>
        </w:tc>
        <w:tc>
          <w:tcPr>
            <w:tcW w:w="1900" w:type="dxa"/>
            <w:vAlign w:val="bottom"/>
            <w:gridSpan w:val="2"/>
            <w:shd w:val="clear" w:color="auto" w:fill="CCEEFF"/>
          </w:tcPr>
          <w:p>
            <w:pPr>
              <w:jc w:val="center"/>
              <w:ind w:right="740"/>
              <w:spacing w:after="0"/>
              <w:rPr>
                <w:sz w:val="20"/>
                <w:szCs w:val="20"/>
                <w:color w:val="auto"/>
              </w:rPr>
            </w:pPr>
            <w:r>
              <w:rPr>
                <w:rFonts w:ascii="Times New Roman" w:cs="Times New Roman" w:eastAsia="Times New Roman" w:hAnsi="Times New Roman"/>
                <w:sz w:val="12"/>
                <w:szCs w:val="12"/>
                <w:color w:val="auto"/>
              </w:rPr>
              <w:t>Positive</w:t>
            </w:r>
          </w:p>
        </w:tc>
        <w:tc>
          <w:tcPr>
            <w:tcW w:w="2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8"/>
              </w:rPr>
              <w:t>Positive</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Adj. net loss of approximately $5 million</w:t>
            </w:r>
          </w:p>
        </w:tc>
      </w:tr>
      <w:tr>
        <w:trPr>
          <w:trHeight w:val="315"/>
        </w:trPr>
        <w:tc>
          <w:tcPr>
            <w:tcW w:w="42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First Quarter 2026 and Recent Business Highlights</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52"/>
        </w:trPr>
        <w:tc>
          <w:tcPr>
            <w:tcW w:w="420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Strategic Expansion and Market Leadership</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60" w:type="dxa"/>
            <w:vAlign w:val="bottom"/>
          </w:tcPr>
          <w:p>
            <w:pPr>
              <w:spacing w:after="0"/>
              <w:rPr>
                <w:sz w:val="21"/>
                <w:szCs w:val="21"/>
                <w:color w:val="auto"/>
              </w:rPr>
            </w:pPr>
          </w:p>
        </w:tc>
      </w:tr>
    </w:tbl>
    <w:p>
      <w:pPr>
        <w:spacing w:after="0" w:line="97" w:lineRule="exact"/>
        <w:rPr>
          <w:sz w:val="20"/>
          <w:szCs w:val="20"/>
          <w:color w:val="auto"/>
        </w:rPr>
      </w:pPr>
    </w:p>
    <w:p>
      <w:pPr>
        <w:ind w:left="420" w:hanging="212"/>
        <w:spacing w:after="0" w:line="259" w:lineRule="auto"/>
        <w:tabs>
          <w:tab w:leader="none" w:pos="41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Announced the landmark SAVES-Kids study, a real-world data Health Economics and Outcomes Research (HEOR) analysis, showing an average healthcare cost savings of up to $80,000 for children with neurodevelopmental disorders in the 12 months following ExomeDx™ and GenomeDx™ testing, regardless of the test result.</w:t>
      </w:r>
    </w:p>
    <w:p>
      <w:pPr>
        <w:spacing w:after="0" w:line="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Launched a reflex product, enabling seamless reflexing to genome testing when exome testing is non-diagnostic.</w:t>
      </w:r>
    </w:p>
    <w:p>
      <w:pPr>
        <w:spacing w:after="0" w:line="6" w:lineRule="exact"/>
        <w:rPr>
          <w:rFonts w:ascii="Times New Roman" w:cs="Times New Roman" w:eastAsia="Times New Roman" w:hAnsi="Times New Roman"/>
          <w:sz w:val="12"/>
          <w:szCs w:val="12"/>
          <w:color w:val="auto"/>
        </w:rPr>
      </w:pPr>
    </w:p>
    <w:p>
      <w:pPr>
        <w:ind w:left="420" w:right="20" w:hanging="212"/>
        <w:spacing w:after="0" w:line="250" w:lineRule="auto"/>
        <w:tabs>
          <w:tab w:leader="none" w:pos="41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Partnered with CNBC to launch CNBC Cures, a collaborative, multi-platform initiative aimed at raising awareness for the rare disease community and improving outcomes for the ~30 million Americans affected by rare diseases.</w:t>
      </w: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Launched a sponsored genetic testing program with Zevra Therapeutics to support patients with suspected Niemann-Pick Disease Type C.</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Expanded Medicaid coverage in Texas, Maine, and Arkansas, resulting in approximately 4.9 million Medicaid patients gaining access to exome testing.</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Innovation &amp; Clinical Leadership</w:t>
      </w:r>
    </w:p>
    <w:p>
      <w:pPr>
        <w:spacing w:after="0" w:line="116" w:lineRule="exact"/>
        <w:rPr>
          <w:sz w:val="20"/>
          <w:szCs w:val="20"/>
          <w:color w:val="auto"/>
        </w:rPr>
      </w:pPr>
    </w:p>
    <w:p>
      <w:pPr>
        <w:jc w:val="both"/>
        <w:ind w:left="420" w:hanging="212"/>
        <w:spacing w:after="0" w:line="256" w:lineRule="auto"/>
        <w:tabs>
          <w:tab w:leader="none" w:pos="417"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Added to the company’s more than 1,100 publications by showcasing 18 pieces of pioneering research at the American College of Medical Genetics and Genomics (ACMG) Annual Meeting. The research highlighted the scale and clinical impact of GeneDx Infinity™ – the largest and most comprehensive rare disease genomic dataset – and GeneDx’s leadership in bringing exome and genome testing to the standard of care by leveraging AI, world-class data and clinical expertise, and expert variant interpretation and classification.</w:t>
      </w:r>
    </w:p>
    <w:p>
      <w:pPr>
        <w:spacing w:after="0" w:line="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Published results from a benchmarking study in the American Journal of Human Genetics demonstrating HiFi long-read sequencing was successful in identifying difficult to detect variants using real-world clinical samples.</w:t>
      </w:r>
    </w:p>
    <w:p>
      <w:pPr>
        <w:spacing w:after="0" w:line="6" w:lineRule="exact"/>
        <w:rPr>
          <w:rFonts w:ascii="Times New Roman" w:cs="Times New Roman" w:eastAsia="Times New Roman" w:hAnsi="Times New Roman"/>
          <w:sz w:val="12"/>
          <w:szCs w:val="12"/>
          <w:color w:val="auto"/>
        </w:rPr>
      </w:pPr>
    </w:p>
    <w:p>
      <w:pPr>
        <w:ind w:left="420" w:right="20" w:hanging="212"/>
        <w:spacing w:after="0" w:line="250" w:lineRule="auto"/>
        <w:tabs>
          <w:tab w:leader="none" w:pos="417"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Published new SeqFirst study data in the American Journal of Medical Genetics showing that implementing rapid genome sequencing (rWGS) as a first-tier test in pediatric and cardiac intensive care units significantly increases diagnostic rates and reduces time to diagnosis by 50%.</w:t>
      </w:r>
    </w:p>
    <w:p>
      <w:pPr>
        <w:ind w:left="420" w:right="20" w:hanging="212"/>
        <w:spacing w:after="0" w:line="260" w:lineRule="auto"/>
        <w:tabs>
          <w:tab w:leader="none" w:pos="417"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Presented “Scaling Rare Disease Discovery with AI: From Genomic Data to Therapeutic Insights” at the Precision Medicine Worldwide Conference (PMWC), showcasing how GeneDx partners with biopharma to turn genomic data into actionable solutions – accelerating discovery, enabling clinical trials, and advancing the next era of precision medicine.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Webcast and Conference Call Details</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GeneDx will host a conference call today, May 4, 2026, at 4:30 p.m. Eastern Time. Investors interested in listening to the conference call are required to register online. A live and archived webcast of the event will be available on the “Events” section of the GeneDx investor relations website at https://ir.genedx.com/.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GeneDx believes non-GAAP measures are useful in evaluating its operating performance. GeneDx uses this supplemental information to evaluate its ongoing operations and for internal planning and forecasting purposes. GeneDx believes that non-GAAP financial information, when taken collectively with its GAAP financial information,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Reconciliations of non-GAAP financial measures to the most directly comparable financial results as determined in accordance with GAAP are included at the end of this press</w:t>
      </w:r>
    </w:p>
    <w:p>
      <w:pPr>
        <w:sectPr>
          <w:pgSz w:w="11900" w:h="16838" w:orient="portrait"/>
          <w:cols w:equalWidth="0" w:num="1">
            <w:col w:w="11300"/>
          </w:cols>
          <w:pgMar w:left="300" w:top="773" w:right="299" w:bottom="1440" w:gutter="0" w:footer="0" w:header="0"/>
        </w:sectPr>
      </w:pPr>
    </w:p>
    <w:bookmarkStart w:id="5" w:name="page6"/>
    <w:bookmarkEnd w:id="5"/>
    <w:p>
      <w:pPr>
        <w:jc w:val="both"/>
        <w:spacing w:after="0" w:line="260" w:lineRule="auto"/>
        <w:rPr>
          <w:sz w:val="20"/>
          <w:szCs w:val="20"/>
          <w:color w:val="auto"/>
        </w:rPr>
      </w:pPr>
      <w:r>
        <w:rPr>
          <w:rFonts w:ascii="Times New Roman" w:cs="Times New Roman" w:eastAsia="Times New Roman" w:hAnsi="Times New Roman"/>
          <w:sz w:val="12"/>
          <w:szCs w:val="12"/>
          <w:color w:val="auto"/>
        </w:rPr>
        <w:t>release following the accompanying financial data. We define non-GAAP financial measures as GAAP measures, excluding certain items such as stock-based compensation expense, depreciation and amortization, restructuring costs, changes in the fair value of financial liabilities, non-core lease costs, and other expenses that the Company believes are not indicative of its ongoing operations. A reconciliation of non-GAAP guidance measures to corresponding GAAP measures is not available on a forward-looking basis without unreasonable effort due to the uncertainty of expenses that may be incurred in the future.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Section 21E of the Securities Exchange Act of 1934, as amended, and the U.S. Private Securities Litigation Reform Act of 1995, including statements regarding our future performance and our market opportunity, including our expectations for full year and second quarter 2026 revenue, exome and genome revenue and test volumes, adjusted gross margin and adjusted net income (loss).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our ability to implement business plans, goals and forecasts, and identify and realize additional opportunities, (ii) the risk of downturns and a changing regulatory landscape in the highly competitive healthcare industry, (iii) the size and growth of the market in which we operate, and (iv) recalibrate for building long-term, durable performance. The foregoing list of factors is not exhaustive. You should carefully consider the foregoing factors and the other risks and uncertainties described in the “Risk Factors” section of our Annual Report on Form 10-K for the fiscal year ended December 31, 2025, filed with the U.S. Securities and Exchange Commission (the “SEC”) on February 23, 2026, our Quarterly Report on Form 10-Q for the fiscal quarter ended March 31, 2026, filed with the SEC on May 4, 2026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GeneDx</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GeneDx’s (Nasdaq: WGS) mission is to empower everyone to live their healthiest life through genomics. GeneDx combines unmatched clinical expertise, advanced technology, and the power of GeneDx Infinity™ – the world’s largest rare disease genomic dataset. This unparalleled foundation powers GeneDx’s ExomeDx™ and GenomeDx™ tests – ranked #1 by expert geneticists and granted FDA Breakthrough Device designation – enabling clinicians to deliver precise, fast, and actionable diagnoses. GeneDx Infinity also fuels discovery for biopharma, with the most powerful AI-driven genomic intelligence. A genomics pioneer over the last 25 years, diagnosing more than 4,800 genetic diseases and publishing more than 1,100 research publications, GeneDx is building the network that will drive the future of genomic precision medicine. For more information, visit genedx.com and connect with us on LinkedIn, Facebook, and Instagram.</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Relations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Investors@GeneDx.com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Press@GeneDx.com</w:t>
      </w:r>
    </w:p>
    <w:p>
      <w:pPr>
        <w:sectPr>
          <w:pgSz w:w="11900" w:h="16838" w:orient="portrait"/>
          <w:cols w:equalWidth="0" w:num="1">
            <w:col w:w="11300"/>
          </w:cols>
          <w:pgMar w:left="300" w:top="777" w:right="299" w:bottom="1440" w:gutter="0" w:footer="0" w:header="0"/>
        </w:sectPr>
      </w:pPr>
    </w:p>
    <w:bookmarkStart w:id="6" w:name="page7"/>
    <w:bookmarkEnd w:id="6"/>
    <w:tbl>
      <w:tblPr>
        <w:tblLayout w:type="fixed"/>
        <w:tblInd w:w="8" w:type="dxa"/>
        <w:tblCellMar>
          <w:top w:w="0" w:type="dxa"/>
          <w:left w:w="0" w:type="dxa"/>
          <w:bottom w:w="0" w:type="dxa"/>
          <w:right w:w="0" w:type="dxa"/>
        </w:tblCellMar>
      </w:tblPr>
      <w:tr>
        <w:trPr>
          <w:trHeight w:val="159"/>
        </w:trPr>
        <w:tc>
          <w:tcPr>
            <w:tcW w:w="2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Volume &amp; Revenue</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495"/>
        </w:trPr>
        <w:tc>
          <w:tcPr>
            <w:tcW w:w="2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4"/>
              </w:rPr>
              <w:t>1Q26</w:t>
            </w:r>
          </w:p>
        </w:tc>
        <w:tc>
          <w:tcPr>
            <w:tcW w:w="340" w:type="dxa"/>
            <w:vAlign w:val="bottom"/>
          </w:tcPr>
          <w:p>
            <w:pPr>
              <w:spacing w:after="0"/>
              <w:rPr>
                <w:sz w:val="24"/>
                <w:szCs w:val="24"/>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4Q25</w:t>
            </w:r>
          </w:p>
        </w:tc>
        <w:tc>
          <w:tcPr>
            <w:tcW w:w="28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3Q25</w:t>
            </w:r>
          </w:p>
        </w:tc>
        <w:tc>
          <w:tcPr>
            <w:tcW w:w="28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2Q25</w:t>
            </w:r>
          </w:p>
        </w:tc>
        <w:tc>
          <w:tcPr>
            <w:tcW w:w="340" w:type="dxa"/>
            <w:vAlign w:val="bottom"/>
          </w:tcPr>
          <w:p>
            <w:pPr>
              <w:spacing w:after="0"/>
              <w:rPr>
                <w:sz w:val="24"/>
                <w:szCs w:val="24"/>
                <w:color w:val="auto"/>
              </w:rPr>
            </w:pPr>
          </w:p>
        </w:tc>
        <w:tc>
          <w:tcPr>
            <w:tcW w:w="1080" w:type="dxa"/>
            <w:vAlign w:val="bottom"/>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1Q25</w:t>
            </w:r>
          </w:p>
        </w:tc>
      </w:tr>
      <w:tr>
        <w:trPr>
          <w:trHeight w:val="169"/>
        </w:trPr>
        <w:tc>
          <w:tcPr>
            <w:tcW w:w="28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Volumes</w:t>
            </w:r>
          </w:p>
        </w:tc>
        <w:tc>
          <w:tcPr>
            <w:tcW w:w="7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r>
      <w:tr>
        <w:trPr>
          <w:trHeight w:val="171"/>
        </w:trPr>
        <w:tc>
          <w:tcPr>
            <w:tcW w:w="2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Whole exome, whole genome</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27,488</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27,761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25,702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23,246</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20,562</w:t>
            </w:r>
          </w:p>
        </w:tc>
      </w:tr>
      <w:tr>
        <w:trPr>
          <w:trHeight w:val="189"/>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Hereditary cancer</w:t>
            </w: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2,677</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2,725</w:t>
            </w:r>
          </w:p>
        </w:tc>
      </w:tr>
      <w:tr>
        <w:trPr>
          <w:trHeight w:val="171"/>
        </w:trPr>
        <w:tc>
          <w:tcPr>
            <w:tcW w:w="2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Other panels</w:t>
            </w:r>
          </w:p>
        </w:tc>
        <w:tc>
          <w:tcPr>
            <w:tcW w:w="7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27,621</w:t>
            </w: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30,935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33,003</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31,833</w:t>
            </w: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28,228</w:t>
            </w:r>
          </w:p>
        </w:tc>
      </w:tr>
      <w:tr>
        <w:trPr>
          <w:trHeight w:val="194"/>
        </w:trPr>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7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55,217</w:t>
            </w: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59,042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60,216</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57,756</w:t>
            </w: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51,515</w:t>
            </w:r>
          </w:p>
        </w:tc>
      </w:tr>
      <w:tr>
        <w:trPr>
          <w:trHeight w:val="153"/>
        </w:trPr>
        <w:tc>
          <w:tcPr>
            <w:tcW w:w="2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 ($ millions)</w:t>
            </w: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1"/>
        </w:trPr>
        <w:tc>
          <w:tcPr>
            <w:tcW w:w="2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Whole exome, whole genome</w:t>
            </w:r>
          </w:p>
        </w:tc>
        <w:tc>
          <w:tcPr>
            <w:tcW w:w="700" w:type="dxa"/>
            <w:vAlign w:val="bottom"/>
          </w:tcPr>
          <w:p>
            <w:pPr>
              <w:spacing w:after="0"/>
              <w:rPr>
                <w:sz w:val="14"/>
                <w:szCs w:val="14"/>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90.6</w:t>
            </w:r>
          </w:p>
        </w:tc>
        <w:tc>
          <w:tcPr>
            <w:tcW w:w="6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104.0</w:t>
            </w:r>
          </w:p>
        </w:tc>
        <w:tc>
          <w:tcPr>
            <w:tcW w:w="80" w:type="dxa"/>
            <w:vAlign w:val="bottom"/>
          </w:tcPr>
          <w:p>
            <w:pPr>
              <w:spacing w:after="0"/>
              <w:rPr>
                <w:sz w:val="14"/>
                <w:szCs w:val="14"/>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98.9</w:t>
            </w:r>
          </w:p>
        </w:tc>
        <w:tc>
          <w:tcPr>
            <w:tcW w:w="8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86.0</w:t>
            </w:r>
          </w:p>
        </w:tc>
        <w:tc>
          <w:tcPr>
            <w:tcW w:w="6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71.4</w:t>
            </w:r>
          </w:p>
        </w:tc>
      </w:tr>
      <w:tr>
        <w:trPr>
          <w:trHeight w:val="189"/>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Hereditary cancer</w:t>
            </w: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r>
      <w:tr>
        <w:trPr>
          <w:trHeight w:val="171"/>
        </w:trPr>
        <w:tc>
          <w:tcPr>
            <w:tcW w:w="2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panels</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r>
      <w:tr>
        <w:trPr>
          <w:trHeight w:val="189"/>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Data information</w:t>
            </w: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71"/>
        </w:trPr>
        <w:tc>
          <w:tcPr>
            <w:tcW w:w="2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Software and interpretation services</w:t>
            </w:r>
          </w:p>
        </w:tc>
        <w:tc>
          <w:tcPr>
            <w:tcW w:w="7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8"/>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7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102.3</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102.7</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87.1</w:t>
            </w:r>
          </w:p>
        </w:tc>
      </w:tr>
      <w:tr>
        <w:trPr>
          <w:trHeight w:val="581"/>
        </w:trPr>
        <w:tc>
          <w:tcPr>
            <w:tcW w:w="28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Unaudited Select Financial Information (in thousands)</w:t>
            </w:r>
          </w:p>
        </w:tc>
        <w:tc>
          <w:tcPr>
            <w:tcW w:w="7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567"/>
        </w:trPr>
        <w:tc>
          <w:tcPr>
            <w:tcW w:w="24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Three months ended March 31, 2026</w:t>
            </w: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Three months ended March 31, 2025</w:t>
            </w:r>
          </w:p>
        </w:tc>
        <w:tc>
          <w:tcPr>
            <w:tcW w:w="1080" w:type="dxa"/>
            <w:vAlign w:val="bottom"/>
            <w:tcBorders>
              <w:bottom w:val="single" w:sz="8" w:color="auto"/>
            </w:tcBorders>
          </w:tcPr>
          <w:p>
            <w:pPr>
              <w:spacing w:after="0"/>
              <w:rPr>
                <w:sz w:val="24"/>
                <w:szCs w:val="24"/>
                <w:color w:val="auto"/>
              </w:rPr>
            </w:pPr>
          </w:p>
        </w:tc>
      </w:tr>
      <w:tr>
        <w:trPr>
          <w:trHeight w:val="178"/>
        </w:trPr>
        <w:tc>
          <w:tcPr>
            <w:tcW w:w="24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GeneDx</w:t>
            </w: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Other</w:t>
            </w:r>
            <w:r>
              <w:rPr>
                <w:rFonts w:ascii="Times New Roman" w:cs="Times New Roman" w:eastAsia="Times New Roman" w:hAnsi="Times New Roman"/>
                <w:sz w:val="15"/>
                <w:szCs w:val="15"/>
                <w:b w:val="1"/>
                <w:bCs w:val="1"/>
                <w:color w:val="auto"/>
                <w:vertAlign w:val="superscript"/>
              </w:rPr>
              <w:t>(1)</w:t>
            </w:r>
          </w:p>
        </w:tc>
        <w:tc>
          <w:tcPr>
            <w:tcW w:w="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GeneDx</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Other</w:t>
            </w:r>
            <w:r>
              <w:rPr>
                <w:rFonts w:ascii="Times New Roman" w:cs="Times New Roman" w:eastAsia="Times New Roman" w:hAnsi="Times New Roman"/>
                <w:sz w:val="15"/>
                <w:szCs w:val="15"/>
                <w:b w:val="1"/>
                <w:bCs w:val="1"/>
                <w:color w:val="auto"/>
                <w:vertAlign w:val="superscript"/>
              </w:rPr>
              <w:t>(1)</w:t>
            </w:r>
          </w:p>
        </w:tc>
        <w:tc>
          <w:tcPr>
            <w:tcW w:w="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9"/>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70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auto"/>
              </w:rPr>
              <w:t>$101,496</w:t>
            </w: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260"/>
              <w:spacing w:after="0"/>
              <w:rPr>
                <w:sz w:val="20"/>
                <w:szCs w:val="20"/>
                <w:color w:val="auto"/>
              </w:rPr>
            </w:pPr>
            <w:r>
              <w:rPr>
                <w:rFonts w:ascii="Times New Roman" w:cs="Times New Roman" w:eastAsia="Times New Roman" w:hAnsi="Times New Roman"/>
                <w:sz w:val="12"/>
                <w:szCs w:val="12"/>
                <w:color w:val="auto"/>
                <w:w w:val="99"/>
              </w:rPr>
              <w:t>$758</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center"/>
              <w:ind w:right="280"/>
              <w:spacing w:after="0"/>
              <w:rPr>
                <w:sz w:val="20"/>
                <w:szCs w:val="20"/>
                <w:color w:val="auto"/>
              </w:rPr>
            </w:pPr>
            <w:r>
              <w:rPr>
                <w:rFonts w:ascii="Times New Roman" w:cs="Times New Roman" w:eastAsia="Times New Roman" w:hAnsi="Times New Roman"/>
                <w:sz w:val="12"/>
                <w:szCs w:val="12"/>
                <w:color w:val="auto"/>
              </w:rPr>
              <w:t>$102,254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rPr>
              <w:t>$87,115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center"/>
              <w:ind w:right="280"/>
              <w:spacing w:after="0"/>
              <w:rPr>
                <w:sz w:val="20"/>
                <w:szCs w:val="20"/>
                <w:color w:val="auto"/>
              </w:rPr>
            </w:pPr>
            <w:r>
              <w:rPr>
                <w:rFonts w:ascii="Times New Roman" w:cs="Times New Roman" w:eastAsia="Times New Roman" w:hAnsi="Times New Roman"/>
                <w:sz w:val="12"/>
                <w:szCs w:val="12"/>
                <w:color w:val="auto"/>
                <w:w w:val="97"/>
              </w:rPr>
              <w:t>$87,115</w:t>
            </w:r>
          </w:p>
        </w:tc>
      </w:tr>
      <w:tr>
        <w:trPr>
          <w:trHeight w:val="171"/>
        </w:trPr>
        <w:tc>
          <w:tcPr>
            <w:tcW w:w="2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Adjusted cost of services</w:t>
            </w: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rPr>
              <w:t>31,613</w:t>
            </w: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12"/>
                <w:szCs w:val="12"/>
                <w:color w:val="auto"/>
                <w:w w:val="99"/>
              </w:rPr>
              <w:t>588</w:t>
            </w: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80"/>
              <w:spacing w:after="0"/>
              <w:rPr>
                <w:sz w:val="20"/>
                <w:szCs w:val="20"/>
                <w:color w:val="auto"/>
              </w:rPr>
            </w:pPr>
            <w:r>
              <w:rPr>
                <w:rFonts w:ascii="Times New Roman" w:cs="Times New Roman" w:eastAsia="Times New Roman" w:hAnsi="Times New Roman"/>
                <w:sz w:val="12"/>
                <w:szCs w:val="12"/>
                <w:color w:val="auto"/>
              </w:rPr>
              <w:t>32,201</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2"/>
                <w:szCs w:val="12"/>
                <w:color w:val="auto"/>
                <w:w w:val="96"/>
              </w:rPr>
              <w:t>27,396</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80"/>
              <w:spacing w:after="0"/>
              <w:rPr>
                <w:sz w:val="20"/>
                <w:szCs w:val="20"/>
                <w:color w:val="auto"/>
              </w:rPr>
            </w:pPr>
            <w:r>
              <w:rPr>
                <w:rFonts w:ascii="Times New Roman" w:cs="Times New Roman" w:eastAsia="Times New Roman" w:hAnsi="Times New Roman"/>
                <w:sz w:val="12"/>
                <w:szCs w:val="12"/>
                <w:color w:val="auto"/>
              </w:rPr>
              <w:t>27,396</w:t>
            </w:r>
          </w:p>
        </w:tc>
      </w:tr>
      <w:tr>
        <w:trPr>
          <w:trHeight w:val="178"/>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gross profit</w:t>
            </w:r>
          </w:p>
        </w:tc>
        <w:tc>
          <w:tcPr>
            <w:tcW w:w="70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auto"/>
                <w:w w:val="97"/>
              </w:rPr>
              <w:t>$69,883</w:t>
            </w: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right="260"/>
              <w:spacing w:after="0"/>
              <w:rPr>
                <w:sz w:val="20"/>
                <w:szCs w:val="20"/>
                <w:color w:val="auto"/>
              </w:rPr>
            </w:pPr>
            <w:r>
              <w:rPr>
                <w:rFonts w:ascii="Times New Roman" w:cs="Times New Roman" w:eastAsia="Times New Roman" w:hAnsi="Times New Roman"/>
                <w:sz w:val="12"/>
                <w:szCs w:val="12"/>
                <w:color w:val="auto"/>
                <w:w w:val="99"/>
              </w:rPr>
              <w:t>$170</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center"/>
              <w:ind w:right="280"/>
              <w:spacing w:after="0"/>
              <w:rPr>
                <w:sz w:val="20"/>
                <w:szCs w:val="20"/>
                <w:color w:val="auto"/>
              </w:rPr>
            </w:pPr>
            <w:r>
              <w:rPr>
                <w:rFonts w:ascii="Times New Roman" w:cs="Times New Roman" w:eastAsia="Times New Roman" w:hAnsi="Times New Roman"/>
                <w:sz w:val="12"/>
                <w:szCs w:val="12"/>
                <w:color w:val="auto"/>
                <w:w w:val="97"/>
              </w:rPr>
              <w:t>$70,053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rPr>
              <w:t>$59,719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center"/>
              <w:ind w:right="280"/>
              <w:spacing w:after="0"/>
              <w:rPr>
                <w:sz w:val="20"/>
                <w:szCs w:val="20"/>
                <w:color w:val="auto"/>
              </w:rPr>
            </w:pPr>
            <w:r>
              <w:rPr>
                <w:rFonts w:ascii="Times New Roman" w:cs="Times New Roman" w:eastAsia="Times New Roman" w:hAnsi="Times New Roman"/>
                <w:sz w:val="12"/>
                <w:szCs w:val="12"/>
                <w:color w:val="auto"/>
                <w:w w:val="97"/>
              </w:rPr>
              <w:t>$59,719</w:t>
            </w:r>
          </w:p>
        </w:tc>
      </w:tr>
      <w:tr>
        <w:trPr>
          <w:trHeight w:val="162"/>
        </w:trPr>
        <w:tc>
          <w:tcPr>
            <w:tcW w:w="2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Adjusted gross margin %</w:t>
            </w:r>
          </w:p>
        </w:tc>
        <w:tc>
          <w:tcPr>
            <w:tcW w:w="70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6"/>
              </w:rPr>
              <w:t>68.9%</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w w:val="96"/>
              </w:rPr>
              <w:t>68.5%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auto"/>
              </w:rPr>
              <w:t>68.6%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w w:val="96"/>
              </w:rPr>
              <w:t>68.6%</w:t>
            </w:r>
          </w:p>
        </w:tc>
      </w:tr>
    </w:tbl>
    <w:p>
      <w:pPr>
        <w:spacing w:after="0" w:line="166" w:lineRule="exact"/>
        <w:rPr>
          <w:sz w:val="20"/>
          <w:szCs w:val="20"/>
          <w:color w:val="auto"/>
        </w:rPr>
      </w:pPr>
    </w:p>
    <w:p>
      <w:pPr>
        <w:ind w:left="208" w:hanging="208"/>
        <w:spacing w:after="0"/>
        <w:tabs>
          <w:tab w:leader="none" w:pos="208" w:val="left"/>
        </w:tabs>
        <w:numPr>
          <w:ilvl w:val="0"/>
          <w:numId w:val="12"/>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For the three months ended March 31, 2026, Other represents revenues and cost of services from the Fabric Genomics operating segment. For the three months ended March 31, 2025, Other represents revenues and cost of services from the Legacy Sema4 diagnostic testing business.</w:t>
      </w:r>
    </w:p>
    <w:p>
      <w:pPr>
        <w:sectPr>
          <w:pgSz w:w="11900" w:h="16838" w:orient="portrait"/>
          <w:cols w:equalWidth="0" w:num="1">
            <w:col w:w="11308"/>
          </w:cols>
          <w:pgMar w:left="292" w:top="773" w:right="299" w:bottom="1440" w:gutter="0" w:footer="0" w:header="0"/>
        </w:sectPr>
      </w:pPr>
    </w:p>
    <w:bookmarkStart w:id="7" w:name="page8"/>
    <w:bookmarkEnd w:id="7"/>
    <w:tbl>
      <w:tblPr>
        <w:tblLayout w:type="fixed"/>
        <w:tblInd w:w="8" w:type="dxa"/>
        <w:tblCellMar>
          <w:top w:w="0" w:type="dxa"/>
          <w:left w:w="0" w:type="dxa"/>
          <w:bottom w:w="0" w:type="dxa"/>
          <w:right w:w="0" w:type="dxa"/>
        </w:tblCellMar>
      </w:tblPr>
      <w:tr>
        <w:trPr>
          <w:trHeight w:val="125"/>
        </w:trPr>
        <w:tc>
          <w:tcPr>
            <w:tcW w:w="1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gridSpan w:val="4"/>
          </w:tcPr>
          <w:p>
            <w:pPr>
              <w:ind w:left="280"/>
              <w:spacing w:after="0"/>
              <w:rPr>
                <w:sz w:val="20"/>
                <w:szCs w:val="20"/>
                <w:color w:val="auto"/>
              </w:rPr>
            </w:pPr>
            <w:r>
              <w:rPr>
                <w:rFonts w:ascii="Times New Roman" w:cs="Times New Roman" w:eastAsia="Times New Roman" w:hAnsi="Times New Roman"/>
                <w:sz w:val="10"/>
                <w:szCs w:val="10"/>
                <w:b w:val="1"/>
                <w:bCs w:val="1"/>
                <w:color w:val="auto"/>
                <w:w w:val="96"/>
              </w:rPr>
              <w:t>Three months ended March 31, 2026</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b w:val="1"/>
                <w:bCs w:val="1"/>
                <w:color w:val="auto"/>
              </w:rPr>
              <w:t>Depreciation and</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3"/>
          </w:tcPr>
          <w:p>
            <w:pPr>
              <w:jc w:val="center"/>
              <w:ind w:right="180"/>
              <w:spacing w:after="0" w:line="108" w:lineRule="exact"/>
              <w:rPr>
                <w:sz w:val="20"/>
                <w:szCs w:val="20"/>
                <w:color w:val="auto"/>
              </w:rPr>
            </w:pPr>
            <w:r>
              <w:rPr>
                <w:rFonts w:ascii="Times New Roman" w:cs="Times New Roman" w:eastAsia="Times New Roman" w:hAnsi="Times New Roman"/>
                <w:sz w:val="10"/>
                <w:szCs w:val="10"/>
                <w:b w:val="1"/>
                <w:bCs w:val="1"/>
                <w:color w:val="auto"/>
                <w:w w:val="96"/>
              </w:rPr>
              <w:t>Stock-based</w:t>
            </w: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4"/>
          </w:tcPr>
          <w:p>
            <w:pPr>
              <w:ind w:left="20"/>
              <w:spacing w:after="0" w:line="108" w:lineRule="exact"/>
              <w:rPr>
                <w:sz w:val="20"/>
                <w:szCs w:val="20"/>
                <w:color w:val="auto"/>
              </w:rPr>
            </w:pPr>
            <w:r>
              <w:rPr>
                <w:rFonts w:ascii="Times New Roman" w:cs="Times New Roman" w:eastAsia="Times New Roman" w:hAnsi="Times New Roman"/>
                <w:sz w:val="10"/>
                <w:szCs w:val="10"/>
                <w:b w:val="1"/>
                <w:bCs w:val="1"/>
                <w:color w:val="auto"/>
              </w:rPr>
              <w:t>Change in FV of financial</w:t>
            </w: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Other</w:t>
            </w:r>
            <w:r>
              <w:rPr>
                <w:rFonts w:ascii="Times New Roman" w:cs="Times New Roman" w:eastAsia="Times New Roman" w:hAnsi="Times New Roman"/>
                <w:sz w:val="12"/>
                <w:szCs w:val="12"/>
                <w:b w:val="1"/>
                <w:bCs w:val="1"/>
                <w:color w:val="auto"/>
                <w:vertAlign w:val="superscript"/>
              </w:rPr>
              <w:t>(2)</w:t>
            </w:r>
          </w:p>
        </w:tc>
        <w:tc>
          <w:tcPr>
            <w:tcW w:w="8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18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compensation</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6"/>
              </w:rPr>
              <w:t>Restructuring costs</w:t>
            </w:r>
          </w:p>
        </w:tc>
        <w:tc>
          <w:tcPr>
            <w:tcW w:w="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0"/>
                <w:szCs w:val="10"/>
                <w:b w:val="1"/>
                <w:bCs w:val="1"/>
                <w:color w:val="auto"/>
                <w:w w:val="97"/>
              </w:rPr>
              <w:t>liabilities</w:t>
            </w:r>
          </w:p>
        </w:tc>
        <w:tc>
          <w:tcPr>
            <w:tcW w:w="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Extinguishment of debt</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Adjusted</w:t>
            </w:r>
          </w:p>
        </w:tc>
        <w:tc>
          <w:tcPr>
            <w:tcW w:w="0" w:type="dxa"/>
            <w:vAlign w:val="bottom"/>
          </w:tcPr>
          <w:p>
            <w:pPr>
              <w:spacing w:after="0"/>
              <w:rPr>
                <w:sz w:val="1"/>
                <w:szCs w:val="1"/>
                <w:color w:val="auto"/>
              </w:rPr>
            </w:pPr>
          </w:p>
        </w:tc>
      </w:tr>
      <w:tr>
        <w:trPr>
          <w:trHeight w:val="122"/>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Diagnostic test revenue</w:t>
            </w:r>
          </w:p>
        </w:tc>
        <w:tc>
          <w:tcPr>
            <w:tcW w:w="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101,299</w:t>
            </w:r>
          </w:p>
        </w:tc>
        <w:tc>
          <w:tcPr>
            <w:tcW w:w="4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CCEEFF"/>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
                <w:szCs w:val="1"/>
                <w:color w:val="auto"/>
                <w:w w:val="4294967286"/>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101,299</w:t>
            </w:r>
          </w:p>
        </w:tc>
        <w:tc>
          <w:tcPr>
            <w:tcW w:w="0" w:type="dxa"/>
            <w:vAlign w:val="bottom"/>
          </w:tcPr>
          <w:p>
            <w:pPr>
              <w:spacing w:after="0"/>
              <w:rPr>
                <w:sz w:val="1"/>
                <w:szCs w:val="1"/>
                <w:color w:val="auto"/>
              </w:rPr>
            </w:pPr>
          </w:p>
        </w:tc>
      </w:tr>
      <w:tr>
        <w:trPr>
          <w:trHeight w:val="127"/>
        </w:trPr>
        <w:tc>
          <w:tcPr>
            <w:tcW w:w="1840" w:type="dxa"/>
            <w:vAlign w:val="bottom"/>
          </w:tcPr>
          <w:p>
            <w:pPr>
              <w:spacing w:after="0"/>
              <w:rPr>
                <w:sz w:val="20"/>
                <w:szCs w:val="20"/>
                <w:color w:val="auto"/>
              </w:rPr>
            </w:pPr>
            <w:r>
              <w:rPr>
                <w:rFonts w:ascii="Times New Roman" w:cs="Times New Roman" w:eastAsia="Times New Roman" w:hAnsi="Times New Roman"/>
                <w:sz w:val="10"/>
                <w:szCs w:val="10"/>
                <w:color w:val="auto"/>
              </w:rPr>
              <w:t>Other revenue</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955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spacing w:after="0"/>
              <w:rPr>
                <w:sz w:val="11"/>
                <w:szCs w:val="11"/>
                <w:color w:val="auto"/>
              </w:rPr>
            </w:pPr>
          </w:p>
        </w:tc>
        <w:tc>
          <w:tcPr>
            <w:tcW w:w="400" w:type="dxa"/>
            <w:vAlign w:val="bottom"/>
            <w:gridSpan w:val="3"/>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955</w:t>
            </w:r>
          </w:p>
        </w:tc>
        <w:tc>
          <w:tcPr>
            <w:tcW w:w="0" w:type="dxa"/>
            <w:vAlign w:val="bottom"/>
          </w:tcPr>
          <w:p>
            <w:pPr>
              <w:spacing w:after="0"/>
              <w:rPr>
                <w:sz w:val="1"/>
                <w:szCs w:val="1"/>
                <w:color w:val="auto"/>
              </w:rPr>
            </w:pPr>
          </w:p>
        </w:tc>
      </w:tr>
      <w:tr>
        <w:trPr>
          <w:trHeight w:val="26"/>
        </w:trPr>
        <w:tc>
          <w:tcPr>
            <w:tcW w:w="1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revenue</w:t>
            </w:r>
          </w:p>
        </w:tc>
        <w:tc>
          <w:tcPr>
            <w:tcW w:w="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102,254</w:t>
            </w:r>
          </w:p>
        </w:tc>
        <w:tc>
          <w:tcPr>
            <w:tcW w:w="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102,254</w:t>
            </w:r>
          </w:p>
        </w:tc>
        <w:tc>
          <w:tcPr>
            <w:tcW w:w="0" w:type="dxa"/>
            <w:vAlign w:val="bottom"/>
          </w:tcPr>
          <w:p>
            <w:pPr>
              <w:spacing w:after="0"/>
              <w:rPr>
                <w:sz w:val="1"/>
                <w:szCs w:val="1"/>
                <w:color w:val="auto"/>
              </w:rPr>
            </w:pPr>
          </w:p>
        </w:tc>
      </w:tr>
      <w:tr>
        <w:trPr>
          <w:trHeight w:val="127"/>
        </w:trPr>
        <w:tc>
          <w:tcPr>
            <w:tcW w:w="1840" w:type="dxa"/>
            <w:vAlign w:val="bottom"/>
          </w:tcPr>
          <w:p>
            <w:pPr>
              <w:spacing w:after="0"/>
              <w:rPr>
                <w:sz w:val="20"/>
                <w:szCs w:val="20"/>
                <w:color w:val="auto"/>
              </w:rPr>
            </w:pPr>
            <w:r>
              <w:rPr>
                <w:rFonts w:ascii="Times New Roman" w:cs="Times New Roman" w:eastAsia="Times New Roman" w:hAnsi="Times New Roman"/>
                <w:sz w:val="10"/>
                <w:szCs w:val="10"/>
                <w:color w:val="auto"/>
              </w:rPr>
              <w:t>Cost of services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34,043</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(1,462)</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(380)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spacing w:after="0"/>
              <w:rPr>
                <w:sz w:val="11"/>
                <w:szCs w:val="11"/>
                <w:color w:val="auto"/>
              </w:rPr>
            </w:pPr>
          </w:p>
        </w:tc>
        <w:tc>
          <w:tcPr>
            <w:tcW w:w="400" w:type="dxa"/>
            <w:vAlign w:val="bottom"/>
            <w:gridSpan w:val="3"/>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32,201</w:t>
            </w:r>
          </w:p>
        </w:tc>
        <w:tc>
          <w:tcPr>
            <w:tcW w:w="0" w:type="dxa"/>
            <w:vAlign w:val="bottom"/>
          </w:tcPr>
          <w:p>
            <w:pPr>
              <w:spacing w:after="0"/>
              <w:rPr>
                <w:sz w:val="1"/>
                <w:szCs w:val="1"/>
                <w:color w:val="auto"/>
              </w:rPr>
            </w:pPr>
          </w:p>
        </w:tc>
      </w:tr>
      <w:tr>
        <w:trPr>
          <w:trHeight w:val="26"/>
        </w:trPr>
        <w:tc>
          <w:tcPr>
            <w:tcW w:w="1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Gross profit</w:t>
            </w:r>
          </w:p>
        </w:tc>
        <w:tc>
          <w:tcPr>
            <w:tcW w:w="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68,211</w:t>
            </w:r>
          </w:p>
        </w:tc>
        <w:tc>
          <w:tcPr>
            <w:tcW w:w="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1,462</w:t>
            </w:r>
          </w:p>
        </w:tc>
        <w:tc>
          <w:tcPr>
            <w:tcW w:w="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380</w:t>
            </w:r>
          </w:p>
        </w:tc>
        <w:tc>
          <w:tcPr>
            <w:tcW w:w="2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70,053</w:t>
            </w:r>
          </w:p>
        </w:tc>
        <w:tc>
          <w:tcPr>
            <w:tcW w:w="0" w:type="dxa"/>
            <w:vAlign w:val="bottom"/>
          </w:tcPr>
          <w:p>
            <w:pPr>
              <w:spacing w:after="0"/>
              <w:rPr>
                <w:sz w:val="1"/>
                <w:szCs w:val="1"/>
                <w:color w:val="auto"/>
              </w:rPr>
            </w:pPr>
          </w:p>
        </w:tc>
      </w:tr>
      <w:tr>
        <w:trPr>
          <w:trHeight w:val="127"/>
        </w:trPr>
        <w:tc>
          <w:tcPr>
            <w:tcW w:w="1840" w:type="dxa"/>
            <w:vAlign w:val="bottom"/>
          </w:tcPr>
          <w:p>
            <w:pPr>
              <w:spacing w:after="0"/>
              <w:rPr>
                <w:sz w:val="20"/>
                <w:szCs w:val="20"/>
                <w:color w:val="auto"/>
              </w:rPr>
            </w:pPr>
            <w:r>
              <w:rPr>
                <w:rFonts w:ascii="Times New Roman" w:cs="Times New Roman" w:eastAsia="Times New Roman" w:hAnsi="Times New Roman"/>
                <w:sz w:val="10"/>
                <w:szCs w:val="10"/>
                <w:color w:val="auto"/>
              </w:rPr>
              <w:t>Gross margin</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66.7 %</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68.5 %</w:t>
            </w:r>
          </w:p>
        </w:tc>
        <w:tc>
          <w:tcPr>
            <w:tcW w:w="0" w:type="dxa"/>
            <w:vAlign w:val="bottom"/>
          </w:tcPr>
          <w:p>
            <w:pPr>
              <w:spacing w:after="0"/>
              <w:rPr>
                <w:sz w:val="1"/>
                <w:szCs w:val="1"/>
                <w:color w:val="auto"/>
              </w:rPr>
            </w:pPr>
          </w:p>
        </w:tc>
      </w:tr>
      <w:tr>
        <w:trPr>
          <w:trHeight w:val="26"/>
        </w:trPr>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Research and development</w:t>
            </w:r>
          </w:p>
        </w:tc>
        <w:tc>
          <w:tcPr>
            <w:tcW w:w="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19,804</w:t>
            </w:r>
          </w:p>
        </w:tc>
        <w:tc>
          <w:tcPr>
            <w:tcW w:w="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(224)</w:t>
            </w:r>
          </w:p>
        </w:tc>
        <w:tc>
          <w:tcPr>
            <w:tcW w:w="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(1,406)</w:t>
            </w:r>
          </w:p>
        </w:tc>
        <w:tc>
          <w:tcPr>
            <w:tcW w:w="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(224)</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17,950</w:t>
            </w:r>
          </w:p>
        </w:tc>
        <w:tc>
          <w:tcPr>
            <w:tcW w:w="0" w:type="dxa"/>
            <w:vAlign w:val="bottom"/>
          </w:tcPr>
          <w:p>
            <w:pPr>
              <w:spacing w:after="0"/>
              <w:rPr>
                <w:sz w:val="1"/>
                <w:szCs w:val="1"/>
                <w:color w:val="auto"/>
              </w:rPr>
            </w:pPr>
          </w:p>
        </w:tc>
      </w:tr>
      <w:tr>
        <w:trPr>
          <w:trHeight w:val="127"/>
        </w:trPr>
        <w:tc>
          <w:tcPr>
            <w:tcW w:w="1840" w:type="dxa"/>
            <w:vAlign w:val="bottom"/>
          </w:tcPr>
          <w:p>
            <w:pPr>
              <w:spacing w:after="0"/>
              <w:rPr>
                <w:sz w:val="20"/>
                <w:szCs w:val="20"/>
                <w:color w:val="auto"/>
              </w:rPr>
            </w:pPr>
            <w:r>
              <w:rPr>
                <w:rFonts w:ascii="Times New Roman" w:cs="Times New Roman" w:eastAsia="Times New Roman" w:hAnsi="Times New Roman"/>
                <w:sz w:val="10"/>
                <w:szCs w:val="10"/>
                <w:color w:val="auto"/>
              </w:rPr>
              <w:t>Selling, general and administrative</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74,591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(5,123)</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(7,210)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gridSpan w:val="3"/>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(1,916)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60,127</w:t>
            </w:r>
          </w:p>
        </w:tc>
        <w:tc>
          <w:tcPr>
            <w:tcW w:w="0" w:type="dxa"/>
            <w:vAlign w:val="bottom"/>
          </w:tcPr>
          <w:p>
            <w:pPr>
              <w:spacing w:after="0"/>
              <w:rPr>
                <w:sz w:val="1"/>
                <w:szCs w:val="1"/>
                <w:color w:val="auto"/>
              </w:rPr>
            </w:pPr>
          </w:p>
        </w:tc>
      </w:tr>
      <w:tr>
        <w:trPr>
          <w:trHeight w:val="26"/>
        </w:trPr>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Impairment loss</w:t>
            </w: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31,287</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(31,287)</w:t>
            </w:r>
          </w:p>
        </w:tc>
        <w:tc>
          <w:tcPr>
            <w:tcW w:w="80" w:type="dxa"/>
            <w:vAlign w:val="bottom"/>
            <w:tcBorders>
              <w:bottom w:val="single" w:sz="8" w:color="CCEEFF"/>
              <w:right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6"/>
        </w:trPr>
        <w:tc>
          <w:tcPr>
            <w:tcW w:w="1840" w:type="dxa"/>
            <w:vAlign w:val="bottom"/>
          </w:tcPr>
          <w:p>
            <w:pPr>
              <w:spacing w:after="0"/>
              <w:rPr>
                <w:sz w:val="20"/>
                <w:szCs w:val="20"/>
                <w:color w:val="auto"/>
              </w:rPr>
            </w:pPr>
            <w:r>
              <w:rPr>
                <w:rFonts w:ascii="Times New Roman" w:cs="Times New Roman" w:eastAsia="Times New Roman" w:hAnsi="Times New Roman"/>
                <w:sz w:val="10"/>
                <w:szCs w:val="10"/>
                <w:color w:val="auto"/>
              </w:rPr>
              <w:t>Loss from operations</w:t>
            </w:r>
          </w:p>
        </w:tc>
        <w:tc>
          <w:tcPr>
            <w:tcW w:w="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(57,471)</w:t>
            </w:r>
          </w:p>
        </w:tc>
        <w:tc>
          <w:tcPr>
            <w:tcW w:w="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6,809</w:t>
            </w:r>
          </w:p>
        </w:tc>
        <w:tc>
          <w:tcPr>
            <w:tcW w:w="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8,996</w:t>
            </w:r>
          </w:p>
        </w:tc>
        <w:tc>
          <w:tcPr>
            <w:tcW w:w="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439</w:t>
            </w:r>
          </w:p>
        </w:tc>
        <w:tc>
          <w:tcPr>
            <w:tcW w:w="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33,203</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(8,024)</w:t>
            </w:r>
          </w:p>
        </w:tc>
        <w:tc>
          <w:tcPr>
            <w:tcW w:w="0" w:type="dxa"/>
            <w:vAlign w:val="bottom"/>
          </w:tcPr>
          <w:p>
            <w:pPr>
              <w:spacing w:after="0"/>
              <w:rPr>
                <w:sz w:val="1"/>
                <w:szCs w:val="1"/>
                <w:color w:val="auto"/>
              </w:rPr>
            </w:pPr>
          </w:p>
        </w:tc>
      </w:tr>
      <w:tr>
        <w:trPr>
          <w:trHeight w:val="26"/>
        </w:trPr>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840" w:type="dxa"/>
            <w:vAlign w:val="bottom"/>
          </w:tcPr>
          <w:p>
            <w:pPr>
              <w:spacing w:after="0"/>
              <w:rPr>
                <w:sz w:val="20"/>
                <w:szCs w:val="20"/>
                <w:color w:val="auto"/>
              </w:rPr>
            </w:pPr>
            <w:r>
              <w:rPr>
                <w:rFonts w:ascii="Times New Roman" w:cs="Times New Roman" w:eastAsia="Times New Roman" w:hAnsi="Times New Roman"/>
                <w:sz w:val="10"/>
                <w:szCs w:val="10"/>
                <w:color w:val="auto"/>
              </w:rPr>
              <w:t>Interest expense, net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(717)</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spacing w:after="0"/>
              <w:rPr>
                <w:sz w:val="11"/>
                <w:szCs w:val="11"/>
                <w:color w:val="auto"/>
              </w:rPr>
            </w:pPr>
          </w:p>
        </w:tc>
        <w:tc>
          <w:tcPr>
            <w:tcW w:w="400" w:type="dxa"/>
            <w:vAlign w:val="bottom"/>
            <w:gridSpan w:val="3"/>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717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6"/>
        </w:trPr>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(expense) income, net</w:t>
            </w:r>
          </w:p>
        </w:tc>
        <w:tc>
          <w:tcPr>
            <w:tcW w:w="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(4,231)</w:t>
            </w:r>
          </w:p>
        </w:tc>
        <w:tc>
          <w:tcPr>
            <w:tcW w:w="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(2,540)</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6,565</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(206)</w:t>
            </w:r>
          </w:p>
        </w:tc>
        <w:tc>
          <w:tcPr>
            <w:tcW w:w="0" w:type="dxa"/>
            <w:vAlign w:val="bottom"/>
          </w:tcPr>
          <w:p>
            <w:pPr>
              <w:spacing w:after="0"/>
              <w:rPr>
                <w:sz w:val="1"/>
                <w:szCs w:val="1"/>
                <w:color w:val="auto"/>
              </w:rPr>
            </w:pPr>
          </w:p>
        </w:tc>
      </w:tr>
      <w:tr>
        <w:trPr>
          <w:trHeight w:val="127"/>
        </w:trPr>
        <w:tc>
          <w:tcPr>
            <w:tcW w:w="1840" w:type="dxa"/>
            <w:vAlign w:val="bottom"/>
          </w:tcPr>
          <w:p>
            <w:pPr>
              <w:spacing w:after="0"/>
              <w:rPr>
                <w:sz w:val="20"/>
                <w:szCs w:val="20"/>
                <w:color w:val="auto"/>
              </w:rPr>
            </w:pPr>
            <w:r>
              <w:rPr>
                <w:rFonts w:ascii="Times New Roman" w:cs="Times New Roman" w:eastAsia="Times New Roman" w:hAnsi="Times New Roman"/>
                <w:sz w:val="10"/>
                <w:szCs w:val="10"/>
                <w:color w:val="auto"/>
              </w:rPr>
              <w:t>Income tax expense</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(897)</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spacing w:after="0"/>
              <w:rPr>
                <w:sz w:val="11"/>
                <w:szCs w:val="11"/>
                <w:color w:val="auto"/>
              </w:rPr>
            </w:pPr>
          </w:p>
        </w:tc>
        <w:tc>
          <w:tcPr>
            <w:tcW w:w="400" w:type="dxa"/>
            <w:vAlign w:val="bottom"/>
            <w:gridSpan w:val="3"/>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897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6"/>
        </w:trPr>
        <w:tc>
          <w:tcPr>
            <w:tcW w:w="1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(63,316)</w:t>
            </w:r>
          </w:p>
        </w:tc>
        <w:tc>
          <w:tcPr>
            <w:tcW w:w="4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6,809</w:t>
            </w:r>
          </w:p>
        </w:tc>
        <w:tc>
          <w:tcPr>
            <w:tcW w:w="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8,996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(2,540)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6,565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34,817</w:t>
            </w:r>
          </w:p>
        </w:tc>
        <w:tc>
          <w:tcPr>
            <w:tcW w:w="8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
                <w:szCs w:val="1"/>
                <w:color w:val="auto"/>
                <w:w w:val="4294967286"/>
              </w:rPr>
              <w:t>$</w:t>
            </w: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(8,230)</w:t>
            </w:r>
          </w:p>
        </w:tc>
        <w:tc>
          <w:tcPr>
            <w:tcW w:w="0" w:type="dxa"/>
            <w:vAlign w:val="bottom"/>
          </w:tcPr>
          <w:p>
            <w:pPr>
              <w:spacing w:after="0"/>
              <w:rPr>
                <w:sz w:val="1"/>
                <w:szCs w:val="1"/>
                <w:color w:val="auto"/>
              </w:rPr>
            </w:pPr>
          </w:p>
        </w:tc>
      </w:tr>
      <w:tr>
        <w:trPr>
          <w:trHeight w:val="126"/>
        </w:trPr>
        <w:tc>
          <w:tcPr>
            <w:tcW w:w="18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Basic and diluted loss per share</w:t>
            </w:r>
            <w:r>
              <w:rPr>
                <w:rFonts w:ascii="Times New Roman" w:cs="Times New Roman" w:eastAsia="Times New Roman" w:hAnsi="Times New Roman"/>
                <w:sz w:val="12"/>
                <w:szCs w:val="12"/>
                <w:color w:val="auto"/>
                <w:vertAlign w:val="superscript"/>
              </w:rPr>
              <w:t>(1)</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(2.16)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
                <w:szCs w:val="1"/>
                <w:color w:val="auto"/>
                <w:w w:val="4294967286"/>
              </w:rPr>
              <w:t>$</w:t>
            </w: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(0.28)</w:t>
            </w:r>
          </w:p>
        </w:tc>
        <w:tc>
          <w:tcPr>
            <w:tcW w:w="0" w:type="dxa"/>
            <w:vAlign w:val="bottom"/>
          </w:tcPr>
          <w:p>
            <w:pPr>
              <w:spacing w:after="0"/>
              <w:rPr>
                <w:sz w:val="1"/>
                <w:szCs w:val="1"/>
                <w:color w:val="auto"/>
              </w:rPr>
            </w:pPr>
          </w:p>
        </w:tc>
      </w:tr>
      <w:tr>
        <w:trPr>
          <w:trHeight w:val="316"/>
        </w:trPr>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8"/>
          </w:tcPr>
          <w:p>
            <w:pPr>
              <w:jc w:val="center"/>
              <w:ind w:left="112"/>
              <w:spacing w:after="0"/>
              <w:rPr>
                <w:sz w:val="20"/>
                <w:szCs w:val="20"/>
                <w:color w:val="auto"/>
              </w:rPr>
            </w:pPr>
            <w:r>
              <w:rPr>
                <w:rFonts w:ascii="Times New Roman" w:cs="Times New Roman" w:eastAsia="Times New Roman" w:hAnsi="Times New Roman"/>
                <w:sz w:val="10"/>
                <w:szCs w:val="10"/>
                <w:b w:val="1"/>
                <w:bCs w:val="1"/>
                <w:color w:val="auto"/>
                <w:w w:val="95"/>
              </w:rPr>
              <w:t>Three months ended March 31, 2025</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8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9"/>
        </w:trPr>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b w:val="1"/>
                <w:bCs w:val="1"/>
                <w:color w:val="auto"/>
              </w:rPr>
              <w:t>Depreciation and</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3"/>
          </w:tcPr>
          <w:p>
            <w:pPr>
              <w:ind w:left="140"/>
              <w:spacing w:after="0" w:line="99" w:lineRule="exact"/>
              <w:rPr>
                <w:sz w:val="20"/>
                <w:szCs w:val="20"/>
                <w:color w:val="auto"/>
              </w:rPr>
            </w:pPr>
            <w:r>
              <w:rPr>
                <w:rFonts w:ascii="Times New Roman" w:cs="Times New Roman" w:eastAsia="Times New Roman" w:hAnsi="Times New Roman"/>
                <w:sz w:val="10"/>
                <w:szCs w:val="10"/>
                <w:b w:val="1"/>
                <w:bCs w:val="1"/>
                <w:color w:val="auto"/>
              </w:rPr>
              <w:t>Stock-based</w:t>
            </w: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4"/>
          </w:tcPr>
          <w:p>
            <w:pPr>
              <w:ind w:left="20"/>
              <w:spacing w:after="0" w:line="99" w:lineRule="exact"/>
              <w:rPr>
                <w:sz w:val="20"/>
                <w:szCs w:val="20"/>
                <w:color w:val="auto"/>
              </w:rPr>
            </w:pPr>
            <w:r>
              <w:rPr>
                <w:rFonts w:ascii="Times New Roman" w:cs="Times New Roman" w:eastAsia="Times New Roman" w:hAnsi="Times New Roman"/>
                <w:sz w:val="10"/>
                <w:szCs w:val="10"/>
                <w:b w:val="1"/>
                <w:bCs w:val="1"/>
                <w:color w:val="auto"/>
              </w:rPr>
              <w:t>Change in FV of financial</w:t>
            </w: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18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compensation</w:t>
            </w:r>
          </w:p>
        </w:tc>
        <w:tc>
          <w:tcPr>
            <w:tcW w:w="60" w:type="dxa"/>
            <w:vAlign w:val="bottom"/>
            <w:tcBorders>
              <w:bottom w:val="single" w:sz="8" w:color="CCEEFF"/>
            </w:tcBorders>
            <w:gridSpan w:val="2"/>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Restructuring costs</w:t>
            </w:r>
          </w:p>
        </w:tc>
        <w:tc>
          <w:tcPr>
            <w:tcW w:w="80" w:type="dxa"/>
            <w:vAlign w:val="bottom"/>
            <w:tcBorders>
              <w:bottom w:val="single" w:sz="8" w:color="CCEEFF"/>
            </w:tcBorders>
            <w:gridSpan w:val="2"/>
          </w:tcPr>
          <w:p>
            <w:pPr>
              <w:spacing w:after="0"/>
              <w:rPr>
                <w:sz w:val="13"/>
                <w:szCs w:val="13"/>
                <w:color w:val="auto"/>
              </w:rPr>
            </w:pPr>
          </w:p>
        </w:tc>
        <w:tc>
          <w:tcPr>
            <w:tcW w:w="7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0"/>
                <w:szCs w:val="10"/>
                <w:b w:val="1"/>
                <w:bCs w:val="1"/>
                <w:color w:val="auto"/>
                <w:w w:val="97"/>
              </w:rPr>
              <w:t>liabilities</w:t>
            </w:r>
          </w:p>
        </w:tc>
        <w:tc>
          <w:tcPr>
            <w:tcW w:w="32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Other</w:t>
            </w:r>
            <w:r>
              <w:rPr>
                <w:rFonts w:ascii="Times New Roman" w:cs="Times New Roman" w:eastAsia="Times New Roman" w:hAnsi="Times New Roman"/>
                <w:sz w:val="12"/>
                <w:szCs w:val="12"/>
                <w:b w:val="1"/>
                <w:bCs w:val="1"/>
                <w:color w:val="auto"/>
                <w:vertAlign w:val="superscript"/>
              </w:rPr>
              <w:t>(2)</w:t>
            </w:r>
          </w:p>
        </w:tc>
        <w:tc>
          <w:tcPr>
            <w:tcW w:w="80" w:type="dxa"/>
            <w:vAlign w:val="bottom"/>
            <w:tcBorders>
              <w:bottom w:val="single" w:sz="8" w:color="CCEEFF"/>
            </w:tcBorders>
            <w:gridSpan w:val="2"/>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Adjusted</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Diagnostic test revenue</w:t>
            </w:r>
          </w:p>
        </w:tc>
        <w:tc>
          <w:tcPr>
            <w:tcW w:w="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85,759</w:t>
            </w:r>
          </w:p>
        </w:tc>
        <w:tc>
          <w:tcPr>
            <w:tcW w:w="4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CCEEFF"/>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85,759</w:t>
            </w:r>
          </w:p>
        </w:tc>
        <w:tc>
          <w:tcPr>
            <w:tcW w:w="80" w:type="dxa"/>
            <w:vAlign w:val="bottom"/>
            <w:tcBorders>
              <w:bottom w:val="single" w:sz="8" w:color="CCEEFF"/>
              <w:right w:val="single" w:sz="8" w:color="CCEEFF"/>
            </w:tcBorders>
            <w:shd w:val="clear" w:color="auto" w:fill="CCEEFF"/>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840" w:type="dxa"/>
            <w:vAlign w:val="bottom"/>
          </w:tcPr>
          <w:p>
            <w:pPr>
              <w:spacing w:after="0"/>
              <w:rPr>
                <w:sz w:val="20"/>
                <w:szCs w:val="20"/>
                <w:color w:val="auto"/>
              </w:rPr>
            </w:pPr>
            <w:r>
              <w:rPr>
                <w:rFonts w:ascii="Times New Roman" w:cs="Times New Roman" w:eastAsia="Times New Roman" w:hAnsi="Times New Roman"/>
                <w:sz w:val="10"/>
                <w:szCs w:val="10"/>
                <w:color w:val="auto"/>
              </w:rPr>
              <w:t>Other revenue</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1,356</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spacing w:after="0"/>
              <w:rPr>
                <w:sz w:val="11"/>
                <w:szCs w:val="11"/>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1,356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8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revenue</w:t>
            </w:r>
          </w:p>
        </w:tc>
        <w:tc>
          <w:tcPr>
            <w:tcW w:w="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87,115</w:t>
            </w:r>
          </w:p>
        </w:tc>
        <w:tc>
          <w:tcPr>
            <w:tcW w:w="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87,115</w:t>
            </w:r>
          </w:p>
        </w:tc>
        <w:tc>
          <w:tcPr>
            <w:tcW w:w="80" w:type="dxa"/>
            <w:vAlign w:val="bottom"/>
            <w:tcBorders>
              <w:bottom w:val="single" w:sz="8" w:color="CCEEFF"/>
              <w:right w:val="single" w:sz="8" w:color="CCEEFF"/>
            </w:tcBorders>
            <w:shd w:val="clear" w:color="auto" w:fill="CCEEFF"/>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840" w:type="dxa"/>
            <w:vAlign w:val="bottom"/>
          </w:tcPr>
          <w:p>
            <w:pPr>
              <w:spacing w:after="0"/>
              <w:rPr>
                <w:sz w:val="20"/>
                <w:szCs w:val="20"/>
                <w:color w:val="auto"/>
              </w:rPr>
            </w:pPr>
            <w:r>
              <w:rPr>
                <w:rFonts w:ascii="Times New Roman" w:cs="Times New Roman" w:eastAsia="Times New Roman" w:hAnsi="Times New Roman"/>
                <w:sz w:val="10"/>
                <w:szCs w:val="10"/>
                <w:color w:val="auto"/>
              </w:rPr>
              <w:t>Cost of services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28,639</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(168)</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spacing w:after="0"/>
              <w:rPr>
                <w:sz w:val="11"/>
                <w:szCs w:val="11"/>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27,396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8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Gross profit</w:t>
            </w:r>
          </w:p>
        </w:tc>
        <w:tc>
          <w:tcPr>
            <w:tcW w:w="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58,476</w:t>
            </w:r>
          </w:p>
        </w:tc>
        <w:tc>
          <w:tcPr>
            <w:tcW w:w="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1,075</w:t>
            </w:r>
          </w:p>
        </w:tc>
        <w:tc>
          <w:tcPr>
            <w:tcW w:w="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168</w:t>
            </w:r>
          </w:p>
        </w:tc>
        <w:tc>
          <w:tcPr>
            <w:tcW w:w="2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59,719</w:t>
            </w:r>
          </w:p>
        </w:tc>
        <w:tc>
          <w:tcPr>
            <w:tcW w:w="80" w:type="dxa"/>
            <w:vAlign w:val="bottom"/>
            <w:tcBorders>
              <w:bottom w:val="single" w:sz="8" w:color="CCEEFF"/>
              <w:right w:val="single" w:sz="8" w:color="CCEEFF"/>
            </w:tcBorders>
            <w:shd w:val="clear" w:color="auto" w:fill="CCEEFF"/>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840" w:type="dxa"/>
            <w:vAlign w:val="bottom"/>
          </w:tcPr>
          <w:p>
            <w:pPr>
              <w:spacing w:after="0"/>
              <w:rPr>
                <w:sz w:val="20"/>
                <w:szCs w:val="20"/>
                <w:color w:val="auto"/>
              </w:rPr>
            </w:pPr>
            <w:r>
              <w:rPr>
                <w:rFonts w:ascii="Times New Roman" w:cs="Times New Roman" w:eastAsia="Times New Roman" w:hAnsi="Times New Roman"/>
                <w:sz w:val="10"/>
                <w:szCs w:val="10"/>
                <w:color w:val="auto"/>
              </w:rPr>
              <w:t>Gross margin</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67.1 %</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68.6 %</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Research and development</w:t>
            </w:r>
          </w:p>
        </w:tc>
        <w:tc>
          <w:tcPr>
            <w:tcW w:w="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12,577</w:t>
            </w:r>
          </w:p>
        </w:tc>
        <w:tc>
          <w:tcPr>
            <w:tcW w:w="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(372)</w:t>
            </w: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(419)</w:t>
            </w:r>
          </w:p>
        </w:tc>
        <w:tc>
          <w:tcPr>
            <w:tcW w:w="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11,758</w:t>
            </w:r>
          </w:p>
        </w:tc>
        <w:tc>
          <w:tcPr>
            <w:tcW w:w="80" w:type="dxa"/>
            <w:vAlign w:val="bottom"/>
            <w:tcBorders>
              <w:bottom w:val="single" w:sz="8" w:color="CCEEFF"/>
              <w:right w:val="single" w:sz="8" w:color="CCEEFF"/>
            </w:tcBorders>
            <w:shd w:val="clear" w:color="auto" w:fill="CCEEFF"/>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840" w:type="dxa"/>
            <w:vAlign w:val="bottom"/>
          </w:tcPr>
          <w:p>
            <w:pPr>
              <w:spacing w:after="0"/>
              <w:rPr>
                <w:sz w:val="20"/>
                <w:szCs w:val="20"/>
                <w:color w:val="auto"/>
              </w:rPr>
            </w:pPr>
            <w:r>
              <w:rPr>
                <w:rFonts w:ascii="Times New Roman" w:cs="Times New Roman" w:eastAsia="Times New Roman" w:hAnsi="Times New Roman"/>
                <w:sz w:val="10"/>
                <w:szCs w:val="10"/>
                <w:color w:val="auto"/>
              </w:rPr>
              <w:t>Selling, general and administrative</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50,450</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(4,231)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(3,265)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39,028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8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(Loss) income from operations</w:t>
            </w:r>
          </w:p>
        </w:tc>
        <w:tc>
          <w:tcPr>
            <w:tcW w:w="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(4,551)</w:t>
            </w:r>
          </w:p>
        </w:tc>
        <w:tc>
          <w:tcPr>
            <w:tcW w:w="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5,678</w:t>
            </w:r>
          </w:p>
        </w:tc>
        <w:tc>
          <w:tcPr>
            <w:tcW w:w="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3,983</w:t>
            </w:r>
          </w:p>
        </w:tc>
        <w:tc>
          <w:tcPr>
            <w:tcW w:w="2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558</w:t>
            </w:r>
          </w:p>
        </w:tc>
        <w:tc>
          <w:tcPr>
            <w:tcW w:w="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3,265</w:t>
            </w:r>
          </w:p>
        </w:tc>
        <w:tc>
          <w:tcPr>
            <w:tcW w:w="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8,933</w:t>
            </w:r>
          </w:p>
        </w:tc>
        <w:tc>
          <w:tcPr>
            <w:tcW w:w="80" w:type="dxa"/>
            <w:vAlign w:val="bottom"/>
            <w:tcBorders>
              <w:bottom w:val="single" w:sz="8" w:color="CCEEFF"/>
              <w:right w:val="single" w:sz="8" w:color="CCEEFF"/>
            </w:tcBorders>
            <w:shd w:val="clear" w:color="auto" w:fill="CCEEFF"/>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Interest expense, net</w:t>
            </w:r>
          </w:p>
        </w:tc>
        <w:tc>
          <w:tcPr>
            <w:tcW w:w="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(640)</w:t>
            </w:r>
          </w:p>
        </w:tc>
        <w:tc>
          <w:tcPr>
            <w:tcW w:w="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640</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840" w:type="dxa"/>
            <w:vAlign w:val="bottom"/>
          </w:tcPr>
          <w:p>
            <w:pPr>
              <w:spacing w:after="0"/>
              <w:rPr>
                <w:sz w:val="20"/>
                <w:szCs w:val="20"/>
                <w:color w:val="auto"/>
              </w:rPr>
            </w:pPr>
            <w:r>
              <w:rPr>
                <w:rFonts w:ascii="Times New Roman" w:cs="Times New Roman" w:eastAsia="Times New Roman" w:hAnsi="Times New Roman"/>
                <w:sz w:val="10"/>
                <w:szCs w:val="10"/>
                <w:color w:val="auto"/>
              </w:rPr>
              <w:t>Other (expense) income, net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239</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Income tax expense</w:t>
            </w: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(447)</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447</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Net (loss) income</w:t>
            </w:r>
          </w:p>
        </w:tc>
        <w:tc>
          <w:tcPr>
            <w:tcW w:w="240" w:type="dxa"/>
            <w:vAlign w:val="bottom"/>
            <w:tcBorders>
              <w:top w:val="single" w:sz="8" w:color="auto"/>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(6,529)</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5,678</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3,983</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558</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4,382</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9,172</w:t>
            </w:r>
          </w:p>
        </w:tc>
        <w:tc>
          <w:tcPr>
            <w:tcW w:w="80" w:type="dxa"/>
            <w:vAlign w:val="bottom"/>
            <w:tcBorders>
              <w:top w:val="single" w:sz="8" w:color="auto"/>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8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40" w:type="dxa"/>
            <w:vAlign w:val="bottom"/>
          </w:tcPr>
          <w:p>
            <w:pPr>
              <w:spacing w:after="0"/>
              <w:rPr>
                <w:sz w:val="20"/>
                <w:szCs w:val="20"/>
                <w:color w:val="auto"/>
              </w:rPr>
            </w:pPr>
            <w:r>
              <w:rPr>
                <w:rFonts w:ascii="Times New Roman" w:cs="Times New Roman" w:eastAsia="Times New Roman" w:hAnsi="Times New Roman"/>
                <w:sz w:val="10"/>
                <w:szCs w:val="10"/>
                <w:color w:val="auto"/>
              </w:rPr>
              <w:t>Basic (loss) earnings per share</w:t>
            </w:r>
            <w:r>
              <w:rPr>
                <w:rFonts w:ascii="Times New Roman" w:cs="Times New Roman" w:eastAsia="Times New Roman" w:hAnsi="Times New Roman"/>
                <w:sz w:val="12"/>
                <w:szCs w:val="12"/>
                <w:color w:val="auto"/>
                <w:vertAlign w:val="superscript"/>
              </w:rPr>
              <w:t>(1)</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(0.23)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0.33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Diluted (loss) earnings per share</w:t>
            </w:r>
            <w:r>
              <w:rPr>
                <w:rFonts w:ascii="Times New Roman" w:cs="Times New Roman" w:eastAsia="Times New Roman" w:hAnsi="Times New Roman"/>
                <w:sz w:val="12"/>
                <w:szCs w:val="12"/>
                <w:color w:val="auto"/>
                <w:vertAlign w:val="superscript"/>
              </w:rPr>
              <w:t>(1)</w:t>
            </w:r>
          </w:p>
        </w:tc>
        <w:tc>
          <w:tcPr>
            <w:tcW w:w="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(0.23)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0.31</w:t>
            </w:r>
          </w:p>
        </w:tc>
        <w:tc>
          <w:tcPr>
            <w:tcW w:w="80" w:type="dxa"/>
            <w:vAlign w:val="bottom"/>
            <w:tcBorders>
              <w:right w:val="single" w:sz="8" w:color="CCEEFF"/>
            </w:tcBorders>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08" w:hanging="208"/>
        <w:spacing w:after="0"/>
        <w:tabs>
          <w:tab w:leader="none" w:pos="208" w:val="left"/>
        </w:tabs>
        <w:numPr>
          <w:ilvl w:val="0"/>
          <w:numId w:val="1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Basic and diluted (loss) earnings per share are calculated based on 29,335,126 weighted average shares outstanding for the three months ended March 31, 2026, and 28,147,948 and 29,440,704 weighted average shares outstanding for the three months ended March 31, 2025, respectively.</w:t>
      </w:r>
    </w:p>
    <w:p>
      <w:pPr>
        <w:spacing w:after="0" w:line="31" w:lineRule="exact"/>
        <w:rPr>
          <w:rFonts w:ascii="Times New Roman" w:cs="Times New Roman" w:eastAsia="Times New Roman" w:hAnsi="Times New Roman"/>
          <w:sz w:val="8"/>
          <w:szCs w:val="8"/>
          <w:color w:val="auto"/>
        </w:rPr>
      </w:pPr>
    </w:p>
    <w:p>
      <w:pPr>
        <w:ind w:left="208" w:hanging="208"/>
        <w:spacing w:after="0" w:line="248" w:lineRule="auto"/>
        <w:tabs>
          <w:tab w:leader="none" w:pos="203"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Other represents interest expense, net, income tax expense and non-core lease costs for all periods presented. For the three months ended March 31, 2026, Other also includes costs related to legal reserves and impairment of goodwill and intangible assets associated with the Fabric Genomics acquisition. For the three months ended March 31, 2025, Other includes transaction costs incurred in connection with the acquisition of Fabric Genomics.</w:t>
      </w:r>
    </w:p>
    <w:p>
      <w:pPr>
        <w:sectPr>
          <w:pgSz w:w="11900" w:h="16838" w:orient="portrait"/>
          <w:cols w:equalWidth="0" w:num="1">
            <w:col w:w="11308"/>
          </w:cols>
          <w:pgMar w:left="292" w:top="591" w:right="299" w:bottom="1440" w:gutter="0" w:footer="0" w:header="0"/>
        </w:sectPr>
      </w:pPr>
    </w:p>
    <w:bookmarkStart w:id="8" w:name="page9"/>
    <w:bookmarkEnd w:id="8"/>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GeneDx Holdings Corp.</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68"/>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March 31, 2026 (Unaudited)</w:t>
            </w:r>
          </w:p>
        </w:tc>
        <w:tc>
          <w:tcPr>
            <w:tcW w:w="280" w:type="dxa"/>
            <w:vAlign w:val="bottom"/>
          </w:tcPr>
          <w:p>
            <w:pPr>
              <w:spacing w:after="0"/>
              <w:rPr>
                <w:sz w:val="14"/>
                <w:szCs w:val="14"/>
                <w:color w:val="auto"/>
              </w:rPr>
            </w:pPr>
          </w:p>
        </w:tc>
        <w:tc>
          <w:tcPr>
            <w:tcW w:w="168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2025</w:t>
            </w:r>
          </w:p>
        </w:tc>
      </w:tr>
      <w:tr>
        <w:trPr>
          <w:trHeight w:val="169"/>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60" w:type="dxa"/>
            <w:vAlign w:val="bottom"/>
            <w:tcBorders>
              <w:top w:val="single" w:sz="8" w:color="auto"/>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8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93,924</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104,997</w:t>
            </w:r>
          </w:p>
        </w:tc>
      </w:tr>
      <w:tr>
        <w:trPr>
          <w:trHeight w:val="171"/>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Marketable securities</w:t>
            </w:r>
          </w:p>
        </w:tc>
        <w:tc>
          <w:tcPr>
            <w:tcW w:w="1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76,761</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66,285</w:t>
            </w:r>
          </w:p>
        </w:tc>
      </w:tr>
      <w:tr>
        <w:trPr>
          <w:trHeight w:val="18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receivable</w:t>
            </w:r>
          </w:p>
        </w:tc>
        <w:tc>
          <w:tcPr>
            <w:tcW w:w="16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76,929</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74,370</w:t>
            </w:r>
          </w:p>
        </w:tc>
      </w:tr>
      <w:tr>
        <w:trPr>
          <w:trHeight w:val="171"/>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Inventory, net</w:t>
            </w:r>
          </w:p>
        </w:tc>
        <w:tc>
          <w:tcPr>
            <w:tcW w:w="1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12,241</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13,951</w:t>
            </w:r>
          </w:p>
        </w:tc>
      </w:tr>
      <w:tr>
        <w:trPr>
          <w:trHeight w:val="180"/>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6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10,774</w:t>
            </w:r>
          </w:p>
        </w:tc>
        <w:tc>
          <w:tcPr>
            <w:tcW w:w="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8,685</w:t>
            </w:r>
          </w:p>
        </w:tc>
      </w:tr>
      <w:tr>
        <w:trPr>
          <w:trHeight w:val="169"/>
        </w:trPr>
        <w:tc>
          <w:tcPr>
            <w:tcW w:w="7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current assets</w:t>
            </w:r>
          </w:p>
        </w:tc>
        <w:tc>
          <w:tcPr>
            <w:tcW w:w="1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270,629</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268,288</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16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34,653</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23,412</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1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50,125</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45,693</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w:t>
            </w:r>
          </w:p>
        </w:tc>
        <w:tc>
          <w:tcPr>
            <w:tcW w:w="16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1,641</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13,520</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1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144,969</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168,481</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r>
              <w:rPr>
                <w:rFonts w:ascii="Times New Roman" w:cs="Times New Roman" w:eastAsia="Times New Roman" w:hAnsi="Times New Roman"/>
                <w:sz w:val="15"/>
                <w:szCs w:val="15"/>
                <w:color w:val="auto"/>
                <w:vertAlign w:val="superscript"/>
              </w:rPr>
              <w:t>(1)</w:t>
            </w:r>
          </w:p>
        </w:tc>
        <w:tc>
          <w:tcPr>
            <w:tcW w:w="160" w:type="dxa"/>
            <w:vAlign w:val="bottom"/>
            <w:tcBorders>
              <w:bottom w:val="single" w:sz="8" w:color="auto"/>
            </w:tcBorders>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4,284</w:t>
            </w:r>
          </w:p>
        </w:tc>
        <w:tc>
          <w:tcPr>
            <w:tcW w:w="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4,316</w:t>
            </w:r>
          </w:p>
        </w:tc>
      </w:tr>
      <w:tr>
        <w:trPr>
          <w:trHeight w:val="185"/>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Total assets</w:t>
            </w: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506,301</w:t>
            </w:r>
          </w:p>
        </w:tc>
        <w:tc>
          <w:tcPr>
            <w:tcW w:w="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523,710</w:t>
            </w:r>
          </w:p>
        </w:tc>
      </w:tr>
      <w:tr>
        <w:trPr>
          <w:trHeight w:val="16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16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8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46,562</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57,645</w:t>
            </w:r>
          </w:p>
        </w:tc>
      </w:tr>
      <w:tr>
        <w:trPr>
          <w:trHeight w:val="171"/>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Short-term lease liabilities</w:t>
            </w:r>
          </w:p>
        </w:tc>
        <w:tc>
          <w:tcPr>
            <w:tcW w:w="1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5,129</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4,404</w:t>
            </w:r>
          </w:p>
        </w:tc>
      </w:tr>
      <w:tr>
        <w:trPr>
          <w:trHeight w:val="180"/>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16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35,948</w:t>
            </w:r>
          </w:p>
        </w:tc>
        <w:tc>
          <w:tcPr>
            <w:tcW w:w="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46,859</w:t>
            </w:r>
          </w:p>
        </w:tc>
      </w:tr>
      <w:tr>
        <w:trPr>
          <w:trHeight w:val="169"/>
        </w:trPr>
        <w:tc>
          <w:tcPr>
            <w:tcW w:w="7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1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87,639</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108,908</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 net of current portion</w:t>
            </w:r>
          </w:p>
        </w:tc>
        <w:tc>
          <w:tcPr>
            <w:tcW w:w="16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96,732</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48,176</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Long-term lease liabilities</w:t>
            </w:r>
          </w:p>
        </w:tc>
        <w:tc>
          <w:tcPr>
            <w:tcW w:w="1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66,331</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56,046</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16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1,641</w:t>
            </w:r>
          </w:p>
        </w:tc>
      </w:tr>
      <w:tr>
        <w:trPr>
          <w:trHeight w:val="171"/>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Deferred taxes</w:t>
            </w: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1,404</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757</w:t>
            </w:r>
          </w:p>
        </w:tc>
      </w:tr>
      <w:tr>
        <w:trPr>
          <w:trHeight w:val="178"/>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liabilities</w:t>
            </w:r>
          </w:p>
        </w:tc>
        <w:tc>
          <w:tcPr>
            <w:tcW w:w="16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252,177</w:t>
            </w:r>
          </w:p>
        </w:tc>
        <w:tc>
          <w:tcPr>
            <w:tcW w:w="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215,528</w:t>
            </w:r>
          </w:p>
        </w:tc>
      </w:tr>
      <w:tr>
        <w:trPr>
          <w:trHeight w:val="151"/>
        </w:trPr>
        <w:tc>
          <w:tcPr>
            <w:tcW w:w="7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8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Preferred stock</w:t>
            </w:r>
          </w:p>
        </w:tc>
        <w:tc>
          <w:tcPr>
            <w:tcW w:w="16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Class A common stock</w:t>
            </w:r>
          </w:p>
        </w:tc>
        <w:tc>
          <w:tcPr>
            <w:tcW w:w="1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6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1,690,249</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1,680,738</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1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(1,436,811)</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(1,373,495)</w:t>
            </w: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16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683</w:t>
            </w:r>
          </w:p>
        </w:tc>
        <w:tc>
          <w:tcPr>
            <w:tcW w:w="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936</w:t>
            </w:r>
          </w:p>
        </w:tc>
      </w:tr>
      <w:tr>
        <w:trPr>
          <w:trHeight w:val="169"/>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254,124</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308,182</w:t>
            </w:r>
          </w:p>
        </w:tc>
      </w:tr>
      <w:tr>
        <w:trPr>
          <w:trHeight w:val="194"/>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506,301</w:t>
            </w: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523,710</w:t>
            </w:r>
          </w:p>
        </w:tc>
      </w:tr>
    </w:tbl>
    <w:p>
      <w:pPr>
        <w:spacing w:after="0" w:line="157" w:lineRule="exact"/>
        <w:rPr>
          <w:sz w:val="20"/>
          <w:szCs w:val="20"/>
          <w:color w:val="auto"/>
        </w:rPr>
      </w:pPr>
    </w:p>
    <w:p>
      <w:pPr>
        <w:ind w:left="208" w:hanging="208"/>
        <w:spacing w:after="0"/>
        <w:tabs>
          <w:tab w:leader="none" w:pos="208"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Other assets includes $1.0 million of restricted cash as of both March 31, 2026 and December 31, 2025.</w:t>
      </w:r>
    </w:p>
    <w:p>
      <w:pPr>
        <w:sectPr>
          <w:pgSz w:w="11900" w:h="16838" w:orient="portrait"/>
          <w:cols w:equalWidth="0" w:num="1">
            <w:col w:w="11308"/>
          </w:cols>
          <w:pgMar w:left="292" w:top="773" w:right="29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GeneDx Holdings Corp.</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(Unaudited)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80" w:type="dxa"/>
            <w:vAlign w:val="bottom"/>
          </w:tcPr>
          <w:p>
            <w:pPr>
              <w:spacing w:after="0"/>
              <w:rPr>
                <w:sz w:val="14"/>
                <w:szCs w:val="14"/>
                <w:color w:val="auto"/>
              </w:rPr>
            </w:pPr>
          </w:p>
        </w:tc>
        <w:tc>
          <w:tcPr>
            <w:tcW w:w="2880" w:type="dxa"/>
            <w:vAlign w:val="bottom"/>
            <w:tcBorders>
              <w:bottom w:val="single" w:sz="8" w:color="auto"/>
            </w:tcBorders>
            <w:gridSpan w:val="4"/>
          </w:tcPr>
          <w:p>
            <w:pPr>
              <w:jc w:val="right"/>
              <w:ind w:right="265"/>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640" w:type="dxa"/>
            <w:vAlign w:val="bottom"/>
            <w:tcBorders>
              <w:bottom w:val="single" w:sz="8" w:color="auto"/>
            </w:tcBorders>
          </w:tcPr>
          <w:p>
            <w:pPr>
              <w:spacing w:after="0"/>
              <w:rPr>
                <w:sz w:val="14"/>
                <w:szCs w:val="14"/>
                <w:color w:val="auto"/>
              </w:rPr>
            </w:pPr>
          </w:p>
        </w:tc>
      </w:tr>
      <w:tr>
        <w:trPr>
          <w:trHeight w:val="169"/>
        </w:trPr>
        <w:tc>
          <w:tcPr>
            <w:tcW w:w="77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2026</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2"/>
                <w:szCs w:val="12"/>
                <w:b w:val="1"/>
                <w:bCs w:val="1"/>
                <w:color w:val="auto"/>
              </w:rPr>
              <w:t>2025</w:t>
            </w:r>
          </w:p>
        </w:tc>
        <w:tc>
          <w:tcPr>
            <w:tcW w:w="640" w:type="dxa"/>
            <w:vAlign w:val="bottom"/>
            <w:tcBorders>
              <w:bottom w:val="single" w:sz="8" w:color="auto"/>
            </w:tcBorders>
          </w:tcPr>
          <w:p>
            <w:pPr>
              <w:spacing w:after="0"/>
              <w:rPr>
                <w:sz w:val="14"/>
                <w:szCs w:val="14"/>
                <w:color w:val="auto"/>
              </w:rPr>
            </w:pPr>
          </w:p>
        </w:tc>
      </w:tr>
      <w:tr>
        <w:trPr>
          <w:trHeight w:val="16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10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71"/>
        </w:trPr>
        <w:tc>
          <w:tcPr>
            <w:tcW w:w="7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Diagnostic test revenue</w:t>
            </w:r>
          </w:p>
        </w:tc>
        <w:tc>
          <w:tcPr>
            <w:tcW w:w="108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101,299</w:t>
            </w:r>
          </w:p>
        </w:tc>
        <w:tc>
          <w:tcPr>
            <w:tcW w:w="80" w:type="dxa"/>
            <w:vAlign w:val="bottom"/>
          </w:tcPr>
          <w:p>
            <w:pPr>
              <w:spacing w:after="0"/>
              <w:rPr>
                <w:sz w:val="14"/>
                <w:szCs w:val="14"/>
                <w:color w:val="auto"/>
              </w:rPr>
            </w:pPr>
          </w:p>
        </w:tc>
        <w:tc>
          <w:tcPr>
            <w:tcW w:w="1080" w:type="dxa"/>
            <w:vAlign w:val="bottom"/>
          </w:tcPr>
          <w:p>
            <w:pPr>
              <w:jc w:val="right"/>
              <w:ind w:right="96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85,759</w:t>
            </w:r>
          </w:p>
        </w:tc>
      </w:tr>
      <w:tr>
        <w:trPr>
          <w:trHeight w:val="18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revenue</w:t>
            </w:r>
          </w:p>
        </w:tc>
        <w:tc>
          <w:tcPr>
            <w:tcW w:w="10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955</w:t>
            </w:r>
          </w:p>
        </w:tc>
        <w:tc>
          <w:tcPr>
            <w:tcW w:w="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1,356</w:t>
            </w:r>
          </w:p>
        </w:tc>
      </w:tr>
      <w:tr>
        <w:trPr>
          <w:trHeight w:val="16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Total revenue</w:t>
            </w: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102,254</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color w:val="auto"/>
              </w:rPr>
              <w:t>87,115</w:t>
            </w:r>
          </w:p>
        </w:tc>
      </w:tr>
      <w:tr>
        <w:trPr>
          <w:trHeight w:val="16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services</w:t>
            </w:r>
          </w:p>
        </w:tc>
        <w:tc>
          <w:tcPr>
            <w:tcW w:w="10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34,043</w:t>
            </w:r>
          </w:p>
        </w:tc>
        <w:tc>
          <w:tcPr>
            <w:tcW w:w="8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28,639</w:t>
            </w:r>
          </w:p>
        </w:tc>
      </w:tr>
      <w:tr>
        <w:trPr>
          <w:trHeight w:val="16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Gross profit</w:t>
            </w: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68,211</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color w:val="auto"/>
              </w:rPr>
              <w:t>58,476</w:t>
            </w:r>
          </w:p>
        </w:tc>
      </w:tr>
      <w:tr>
        <w:trPr>
          <w:trHeight w:val="17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19,804</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12,577</w:t>
            </w:r>
          </w:p>
        </w:tc>
      </w:tr>
      <w:tr>
        <w:trPr>
          <w:trHeight w:val="171"/>
        </w:trPr>
        <w:tc>
          <w:tcPr>
            <w:tcW w:w="778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74,591</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50,450</w:t>
            </w:r>
          </w:p>
        </w:tc>
      </w:tr>
      <w:tr>
        <w:trPr>
          <w:trHeight w:val="18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Impairment loss</w:t>
            </w:r>
          </w:p>
        </w:tc>
        <w:tc>
          <w:tcPr>
            <w:tcW w:w="10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31,287</w:t>
            </w:r>
          </w:p>
        </w:tc>
        <w:tc>
          <w:tcPr>
            <w:tcW w:w="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Loss from operations</w:t>
            </w: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(57,471)</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color w:val="auto"/>
              </w:rPr>
              <w:t>(4,551)</w:t>
            </w:r>
          </w:p>
        </w:tc>
      </w:tr>
      <w:tr>
        <w:trPr>
          <w:trHeight w:val="160"/>
        </w:trPr>
        <w:tc>
          <w:tcPr>
            <w:tcW w:w="77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71"/>
        </w:trPr>
        <w:tc>
          <w:tcPr>
            <w:tcW w:w="7780" w:type="dxa"/>
            <w:vAlign w:val="bottom"/>
          </w:tcPr>
          <w:p>
            <w:pPr>
              <w:spacing w:after="0"/>
              <w:rPr>
                <w:sz w:val="20"/>
                <w:szCs w:val="20"/>
                <w:color w:val="auto"/>
              </w:rPr>
            </w:pPr>
            <w:r>
              <w:rPr>
                <w:rFonts w:ascii="Times New Roman" w:cs="Times New Roman" w:eastAsia="Times New Roman" w:hAnsi="Times New Roman"/>
                <w:sz w:val="12"/>
                <w:szCs w:val="12"/>
                <w:color w:val="auto"/>
              </w:rPr>
              <w:t>Non-operating (expenses) income, net</w:t>
            </w: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8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financial liabilities</w:t>
            </w: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2,540</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(1,100)</w:t>
            </w:r>
          </w:p>
        </w:tc>
      </w:tr>
      <w:tr>
        <w:trPr>
          <w:trHeight w:val="171"/>
        </w:trPr>
        <w:tc>
          <w:tcPr>
            <w:tcW w:w="7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expense, net</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(717)</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(640)</w:t>
            </w:r>
          </w:p>
        </w:tc>
      </w:tr>
      <w:tr>
        <w:trPr>
          <w:trHeight w:val="18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Loss on extinguishment of debt</w:t>
            </w: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(6,565)</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Other (expense) income, net</w:t>
            </w: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(206)</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209</w:t>
            </w:r>
          </w:p>
        </w:tc>
      </w:tr>
      <w:tr>
        <w:trPr>
          <w:trHeight w:val="16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non-operating expense, net</w:t>
            </w:r>
          </w:p>
        </w:tc>
        <w:tc>
          <w:tcPr>
            <w:tcW w:w="10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(4,948)</w:t>
            </w:r>
          </w:p>
        </w:tc>
        <w:tc>
          <w:tcPr>
            <w:tcW w:w="8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(1,531)</w:t>
            </w:r>
          </w:p>
        </w:tc>
      </w:tr>
      <w:tr>
        <w:trPr>
          <w:trHeight w:val="169"/>
        </w:trPr>
        <w:tc>
          <w:tcPr>
            <w:tcW w:w="7780" w:type="dxa"/>
            <w:vAlign w:val="bottom"/>
          </w:tcPr>
          <w:p>
            <w:pPr>
              <w:spacing w:after="0"/>
              <w:rPr>
                <w:sz w:val="20"/>
                <w:szCs w:val="20"/>
                <w:color w:val="auto"/>
              </w:rPr>
            </w:pPr>
            <w:r>
              <w:rPr>
                <w:rFonts w:ascii="Times New Roman" w:cs="Times New Roman" w:eastAsia="Times New Roman" w:hAnsi="Times New Roman"/>
                <w:sz w:val="12"/>
                <w:szCs w:val="12"/>
                <w:color w:val="auto"/>
              </w:rPr>
              <w:t>Loss before income taxes</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(62,419)</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(6,082)</w:t>
            </w:r>
          </w:p>
        </w:tc>
      </w:tr>
      <w:tr>
        <w:trPr>
          <w:trHeight w:val="18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0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(897)</w:t>
            </w:r>
          </w:p>
        </w:tc>
        <w:tc>
          <w:tcPr>
            <w:tcW w:w="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w:t>
            </w:r>
          </w:p>
        </w:tc>
      </w:tr>
      <w:tr>
        <w:trPr>
          <w:trHeight w:val="194"/>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loss</w:t>
            </w:r>
          </w:p>
        </w:tc>
        <w:tc>
          <w:tcPr>
            <w:tcW w:w="1080" w:type="dxa"/>
            <w:vAlign w:val="bottom"/>
            <w:tcBorders>
              <w:bottom w:val="single" w:sz="8" w:color="auto"/>
            </w:tcBorders>
          </w:tcPr>
          <w:p>
            <w:pPr>
              <w:jc w:val="right"/>
              <w:ind w:right="94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(63,316)</w:t>
            </w: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96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color w:val="auto"/>
              </w:rPr>
              <w:t>(6,529)</w:t>
            </w:r>
          </w:p>
        </w:tc>
      </w:tr>
      <w:tr>
        <w:trPr>
          <w:trHeight w:val="162"/>
        </w:trPr>
        <w:tc>
          <w:tcPr>
            <w:tcW w:w="77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71"/>
        </w:trPr>
        <w:tc>
          <w:tcPr>
            <w:tcW w:w="7780" w:type="dxa"/>
            <w:vAlign w:val="bottom"/>
          </w:tcPr>
          <w:p>
            <w:pPr>
              <w:spacing w:after="0"/>
              <w:rPr>
                <w:sz w:val="20"/>
                <w:szCs w:val="20"/>
                <w:color w:val="auto"/>
              </w:rPr>
            </w:pPr>
            <w:r>
              <w:rPr>
                <w:rFonts w:ascii="Times New Roman" w:cs="Times New Roman" w:eastAsia="Times New Roman" w:hAnsi="Times New Roman"/>
                <w:sz w:val="12"/>
                <w:szCs w:val="12"/>
                <w:color w:val="auto"/>
              </w:rPr>
              <w:t>Weighted-average shares outstanding of Class A common stock</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29,335,126</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9"/>
              </w:rPr>
              <w:t>28,147,948</w:t>
            </w:r>
          </w:p>
        </w:tc>
      </w:tr>
      <w:tr>
        <w:trPr>
          <w:trHeight w:val="18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and diluted loss per share, Class A common stock</w:t>
            </w:r>
          </w:p>
        </w:tc>
        <w:tc>
          <w:tcPr>
            <w:tcW w:w="1080" w:type="dxa"/>
            <w:vAlign w:val="bottom"/>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6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(0.23)</w:t>
            </w:r>
          </w:p>
        </w:tc>
      </w:tr>
    </w:tbl>
    <w:p>
      <w:pPr>
        <w:sectPr>
          <w:pgSz w:w="11900" w:h="16838" w:orient="portrait"/>
          <w:cols w:equalWidth="0" w:num="1">
            <w:col w:w="11300"/>
          </w:cols>
          <w:pgMar w:left="300" w:top="773" w:right="299" w:bottom="1440" w:gutter="0" w:footer="0" w:header="0"/>
        </w:sectPr>
      </w:pPr>
    </w:p>
    <w:bookmarkStart w:id="10" w:name="page11"/>
    <w:bookmarkEnd w:id="1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GeneDx Holdings Corp.</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 (Unaudited)</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68"/>
        </w:trPr>
        <w:tc>
          <w:tcPr>
            <w:tcW w:w="7980" w:type="dxa"/>
            <w:vAlign w:val="bottom"/>
          </w:tcPr>
          <w:p>
            <w:pPr>
              <w:spacing w:after="0"/>
              <w:rPr>
                <w:sz w:val="14"/>
                <w:szCs w:val="14"/>
                <w:color w:val="auto"/>
              </w:rPr>
            </w:pPr>
          </w:p>
        </w:tc>
        <w:tc>
          <w:tcPr>
            <w:tcW w:w="2760" w:type="dxa"/>
            <w:vAlign w:val="bottom"/>
            <w:tcBorders>
              <w:bottom w:val="single" w:sz="8" w:color="auto"/>
            </w:tcBorders>
            <w:gridSpan w:val="4"/>
          </w:tcPr>
          <w:p>
            <w:pPr>
              <w:jc w:val="right"/>
              <w:ind w:right="245"/>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r>
      <w:tr>
        <w:trPr>
          <w:trHeight w:val="169"/>
        </w:trPr>
        <w:tc>
          <w:tcPr>
            <w:tcW w:w="79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2026</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2"/>
                <w:szCs w:val="12"/>
                <w:b w:val="1"/>
                <w:bCs w:val="1"/>
                <w:color w:val="auto"/>
              </w:rPr>
              <w:t>2025</w:t>
            </w:r>
          </w:p>
        </w:tc>
        <w:tc>
          <w:tcPr>
            <w:tcW w:w="560" w:type="dxa"/>
            <w:vAlign w:val="bottom"/>
            <w:tcBorders>
              <w:bottom w:val="single" w:sz="8" w:color="auto"/>
            </w:tcBorders>
          </w:tcPr>
          <w:p>
            <w:pPr>
              <w:spacing w:after="0"/>
              <w:rPr>
                <w:sz w:val="14"/>
                <w:szCs w:val="14"/>
                <w:color w:val="auto"/>
              </w:rPr>
            </w:pPr>
          </w:p>
        </w:tc>
      </w:tr>
      <w:tr>
        <w:trPr>
          <w:trHeight w:val="16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activities</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71"/>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1060" w:type="dxa"/>
            <w:vAlign w:val="bottom"/>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(63,316)</w:t>
            </w:r>
          </w:p>
        </w:tc>
        <w:tc>
          <w:tcPr>
            <w:tcW w:w="80" w:type="dxa"/>
            <w:vAlign w:val="bottom"/>
          </w:tcPr>
          <w:p>
            <w:pPr>
              <w:spacing w:after="0"/>
              <w:rPr>
                <w:sz w:val="14"/>
                <w:szCs w:val="14"/>
                <w:color w:val="auto"/>
              </w:rPr>
            </w:pPr>
          </w:p>
        </w:tc>
        <w:tc>
          <w:tcPr>
            <w:tcW w:w="1060" w:type="dxa"/>
            <w:vAlign w:val="bottom"/>
          </w:tcPr>
          <w:p>
            <w:pPr>
              <w:jc w:val="right"/>
              <w:ind w:right="94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(6,529)</w:t>
            </w:r>
          </w:p>
        </w:tc>
      </w:tr>
      <w:tr>
        <w:trPr>
          <w:trHeight w:val="18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to reconcile net loss to net cash (used in) provided by operating activities:</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80"/>
        </w:trPr>
        <w:tc>
          <w:tcPr>
            <w:tcW w:w="7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 expense</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6,809</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5,678</w:t>
            </w:r>
          </w:p>
        </w:tc>
      </w:tr>
      <w:tr>
        <w:trPr>
          <w:trHeight w:val="180"/>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8,996</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3,983</w:t>
            </w:r>
          </w:p>
        </w:tc>
      </w:tr>
      <w:tr>
        <w:trPr>
          <w:trHeight w:val="171"/>
        </w:trPr>
        <w:tc>
          <w:tcPr>
            <w:tcW w:w="7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 in fair value of financial liabilities</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(2,540)</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1,100</w:t>
            </w:r>
          </w:p>
        </w:tc>
      </w:tr>
      <w:tr>
        <w:trPr>
          <w:trHeight w:val="189"/>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Deferred tax expense</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897</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w:t>
            </w:r>
          </w:p>
        </w:tc>
      </w:tr>
      <w:tr>
        <w:trPr>
          <w:trHeight w:val="175"/>
        </w:trPr>
        <w:tc>
          <w:tcPr>
            <w:tcW w:w="7980" w:type="dxa"/>
            <w:vAlign w:val="bottom"/>
          </w:tcPr>
          <w:p>
            <w:pPr>
              <w:ind w:left="120"/>
              <w:spacing w:after="0"/>
              <w:rPr>
                <w:sz w:val="20"/>
                <w:szCs w:val="20"/>
                <w:color w:val="auto"/>
              </w:rPr>
            </w:pPr>
            <w:r>
              <w:rPr>
                <w:rFonts w:ascii="Times New Roman" w:cs="Times New Roman" w:eastAsia="Times New Roman" w:hAnsi="Times New Roman"/>
                <w:sz w:val="12"/>
                <w:szCs w:val="12"/>
                <w:color w:val="2B2A29"/>
              </w:rPr>
              <w:t>Change in third party payor reserves</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1,022</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1,395</w:t>
            </w:r>
          </w:p>
        </w:tc>
      </w:tr>
      <w:tr>
        <w:trPr>
          <w:trHeight w:val="185"/>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B2A29"/>
              </w:rPr>
              <w:t>Loss on extinguishment of debt</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6,565</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5"/>
        </w:trPr>
        <w:tc>
          <w:tcPr>
            <w:tcW w:w="7980" w:type="dxa"/>
            <w:vAlign w:val="bottom"/>
          </w:tcPr>
          <w:p>
            <w:pPr>
              <w:ind w:left="120"/>
              <w:spacing w:after="0"/>
              <w:rPr>
                <w:sz w:val="20"/>
                <w:szCs w:val="20"/>
                <w:color w:val="auto"/>
              </w:rPr>
            </w:pPr>
            <w:r>
              <w:rPr>
                <w:rFonts w:ascii="Times New Roman" w:cs="Times New Roman" w:eastAsia="Times New Roman" w:hAnsi="Times New Roman"/>
                <w:sz w:val="12"/>
                <w:szCs w:val="12"/>
                <w:color w:val="2B2A29"/>
              </w:rPr>
              <w:t>Impairment loss</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31,287</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4"/>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B2A29"/>
              </w:rPr>
              <w:t>Other</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1,034</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757</w:t>
            </w:r>
          </w:p>
        </w:tc>
      </w:tr>
      <w:tr>
        <w:trPr>
          <w:trHeight w:val="171"/>
        </w:trPr>
        <w:tc>
          <w:tcPr>
            <w:tcW w:w="7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Accounts receivable</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(2,558)</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(8,557)</w:t>
            </w:r>
          </w:p>
        </w:tc>
      </w:tr>
      <w:tr>
        <w:trPr>
          <w:trHeight w:val="171"/>
        </w:trPr>
        <w:tc>
          <w:tcPr>
            <w:tcW w:w="79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Inventory</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1,689</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(2,032)</w:t>
            </w:r>
          </w:p>
        </w:tc>
      </w:tr>
      <w:tr>
        <w:trPr>
          <w:trHeight w:val="18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(13,168)</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10,824</w:t>
            </w:r>
          </w:p>
        </w:tc>
      </w:tr>
      <w:tr>
        <w:trPr>
          <w:trHeight w:val="171"/>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Other assets and liabilities</w:t>
            </w:r>
          </w:p>
        </w:tc>
        <w:tc>
          <w:tcPr>
            <w:tcW w:w="10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(9,125)</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3,116</w:t>
            </w:r>
          </w:p>
        </w:tc>
      </w:tr>
      <w:tr>
        <w:trPr>
          <w:trHeight w:val="178"/>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provided by operating activities</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(32,408)</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10,182</w:t>
            </w:r>
          </w:p>
        </w:tc>
      </w:tr>
      <w:tr>
        <w:trPr>
          <w:trHeight w:val="171"/>
        </w:trPr>
        <w:tc>
          <w:tcPr>
            <w:tcW w:w="7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Purchases of marketable securities</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(20,177)</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(17,209)</w:t>
            </w:r>
          </w:p>
        </w:tc>
      </w:tr>
      <w:tr>
        <w:trPr>
          <w:trHeight w:val="171"/>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sales of marketable securities</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875</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maturities of marketable securities</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8,500</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13,930</w:t>
            </w:r>
          </w:p>
        </w:tc>
      </w:tr>
      <w:tr>
        <w:trPr>
          <w:trHeight w:val="171"/>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Purchases of property and equipment and development of internal-use software</w:t>
            </w:r>
          </w:p>
        </w:tc>
        <w:tc>
          <w:tcPr>
            <w:tcW w:w="10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(6,453)</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(6,129)</w:t>
            </w:r>
          </w:p>
        </w:tc>
      </w:tr>
      <w:tr>
        <w:trPr>
          <w:trHeight w:val="178"/>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(17,255)</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(9,408)</w:t>
            </w:r>
          </w:p>
        </w:tc>
      </w:tr>
      <w:tr>
        <w:trPr>
          <w:trHeight w:val="171"/>
        </w:trPr>
        <w:tc>
          <w:tcPr>
            <w:tcW w:w="7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Financing activities</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long term debt, net of issuance costs</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96,998</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13,894</w:t>
            </w:r>
          </w:p>
        </w:tc>
      </w:tr>
      <w:tr>
        <w:trPr>
          <w:trHeight w:val="171"/>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issuance of common stock from subscription agreements</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 of stock options</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w:t>
            </w:r>
          </w:p>
        </w:tc>
      </w:tr>
      <w:tr>
        <w:trPr>
          <w:trHeight w:val="171"/>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Repayment of long-term debt, including prepayment penalty - Perceptive</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(54,000)</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 and principal payments for long-term debt - DECD</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(4,447)</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r>
      <w:tr>
        <w:trPr>
          <w:trHeight w:val="171"/>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Finance lease principal payments</w:t>
            </w:r>
          </w:p>
        </w:tc>
        <w:tc>
          <w:tcPr>
            <w:tcW w:w="10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(495)</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(611)</w:t>
            </w:r>
          </w:p>
        </w:tc>
      </w:tr>
      <w:tr>
        <w:trPr>
          <w:trHeight w:val="16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10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38,590</w:t>
            </w:r>
          </w:p>
        </w:tc>
        <w:tc>
          <w:tcPr>
            <w:tcW w:w="8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13,718</w:t>
            </w:r>
          </w:p>
        </w:tc>
      </w:tr>
      <w:tr>
        <w:trPr>
          <w:trHeight w:val="169"/>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Net (decrease) increase in cash, cash equivalents and restricted cash</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(11,073)</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14,492</w:t>
            </w:r>
          </w:p>
        </w:tc>
      </w:tr>
      <w:tr>
        <w:trPr>
          <w:trHeight w:val="18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at beginning of period</w:t>
            </w:r>
          </w:p>
        </w:tc>
        <w:tc>
          <w:tcPr>
            <w:tcW w:w="10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105,989</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86,202</w:t>
            </w:r>
          </w:p>
        </w:tc>
      </w:tr>
      <w:tr>
        <w:trPr>
          <w:trHeight w:val="194"/>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 xml:space="preserve">Cash, cash equivalents and restricted cash, at end of period </w:t>
            </w:r>
            <w:r>
              <w:rPr>
                <w:rFonts w:ascii="Times New Roman" w:cs="Times New Roman" w:eastAsia="Times New Roman" w:hAnsi="Times New Roman"/>
                <w:sz w:val="15"/>
                <w:szCs w:val="15"/>
                <w:color w:val="auto"/>
                <w:vertAlign w:val="superscript"/>
              </w:rPr>
              <w:t>(1)</w:t>
            </w:r>
          </w:p>
        </w:tc>
        <w:tc>
          <w:tcPr>
            <w:tcW w:w="1060" w:type="dxa"/>
            <w:vAlign w:val="bottom"/>
            <w:tcBorders>
              <w:bottom w:val="single" w:sz="8" w:color="auto"/>
            </w:tcBorders>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94,916</w:t>
            </w: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94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100,694</w:t>
            </w:r>
          </w:p>
        </w:tc>
      </w:tr>
      <w:tr>
        <w:trPr>
          <w:trHeight w:val="153"/>
        </w:trPr>
        <w:tc>
          <w:tcPr>
            <w:tcW w:w="79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71"/>
        </w:trPr>
        <w:tc>
          <w:tcPr>
            <w:tcW w:w="7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Supplemental disclosures of cash flow information</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paid for interest</w:t>
            </w:r>
          </w:p>
        </w:tc>
        <w:tc>
          <w:tcPr>
            <w:tcW w:w="106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1,748</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4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1,600</w:t>
            </w:r>
          </w:p>
        </w:tc>
      </w:tr>
      <w:tr>
        <w:trPr>
          <w:trHeight w:val="171"/>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Cash paid for taxes</w:t>
            </w:r>
          </w:p>
        </w:tc>
        <w:tc>
          <w:tcPr>
            <w:tcW w:w="1060" w:type="dxa"/>
            <w:vAlign w:val="bottom"/>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754</w:t>
            </w:r>
          </w:p>
        </w:tc>
        <w:tc>
          <w:tcPr>
            <w:tcW w:w="80" w:type="dxa"/>
            <w:vAlign w:val="bottom"/>
          </w:tcPr>
          <w:p>
            <w:pPr>
              <w:spacing w:after="0"/>
              <w:rPr>
                <w:sz w:val="14"/>
                <w:szCs w:val="14"/>
                <w:color w:val="auto"/>
              </w:rPr>
            </w:pPr>
          </w:p>
        </w:tc>
        <w:tc>
          <w:tcPr>
            <w:tcW w:w="1060" w:type="dxa"/>
            <w:vAlign w:val="bottom"/>
          </w:tcPr>
          <w:p>
            <w:pPr>
              <w:jc w:val="right"/>
              <w:ind w:right="94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w:t>
            </w:r>
          </w:p>
        </w:tc>
      </w:tr>
      <w:tr>
        <w:trPr>
          <w:trHeight w:val="18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 liability from obtaining right-of-use asset</w:t>
            </w:r>
          </w:p>
        </w:tc>
        <w:tc>
          <w:tcPr>
            <w:tcW w:w="106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12,086</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4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Purchases of property and equipment in accounts payable and accrued expenses</w:t>
            </w:r>
          </w:p>
        </w:tc>
        <w:tc>
          <w:tcPr>
            <w:tcW w:w="1060" w:type="dxa"/>
            <w:vAlign w:val="bottom"/>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5,915</w:t>
            </w:r>
          </w:p>
        </w:tc>
        <w:tc>
          <w:tcPr>
            <w:tcW w:w="80" w:type="dxa"/>
            <w:vAlign w:val="bottom"/>
          </w:tcPr>
          <w:p>
            <w:pPr>
              <w:spacing w:after="0"/>
              <w:rPr>
                <w:sz w:val="14"/>
                <w:szCs w:val="14"/>
                <w:color w:val="auto"/>
              </w:rPr>
            </w:pPr>
          </w:p>
        </w:tc>
        <w:tc>
          <w:tcPr>
            <w:tcW w:w="1060" w:type="dxa"/>
            <w:vAlign w:val="bottom"/>
          </w:tcPr>
          <w:p>
            <w:pPr>
              <w:jc w:val="right"/>
              <w:ind w:right="94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2,197</w:t>
            </w:r>
          </w:p>
        </w:tc>
      </w:tr>
    </w:tbl>
    <w:p>
      <w:pPr>
        <w:spacing w:after="0" w:line="175" w:lineRule="exact"/>
        <w:rPr>
          <w:sz w:val="20"/>
          <w:szCs w:val="20"/>
          <w:color w:val="auto"/>
        </w:rPr>
      </w:pPr>
    </w:p>
    <w:p>
      <w:pPr>
        <w:ind w:left="208" w:hanging="208"/>
        <w:spacing w:after="0"/>
        <w:tabs>
          <w:tab w:leader="none" w:pos="208"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Cash, cash equivalents and restricted cash as of March 31, 2026 excludes marketable securities of $76.8 million.</w:t>
      </w:r>
    </w:p>
    <w:p>
      <w:pPr>
        <w:sectPr>
          <w:pgSz w:w="11900" w:h="16838" w:orient="portrait"/>
          <w:cols w:equalWidth="0" w:num="1">
            <w:col w:w="11308"/>
          </w:cols>
          <w:pgMar w:left="292" w:top="773" w:right="299" w:bottom="1440" w:gutter="0" w:footer="0" w:header="0"/>
        </w:sectPr>
      </w:pPr>
    </w:p>
    <w:bookmarkStart w:id="11" w:name="page12"/>
    <w:bookmarkEnd w:id="11"/>
    <w:p>
      <w:pPr>
        <w:ind w:left="1068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GeneDx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Supplemental Financial Information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spacing w:after="0" w:line="1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0"/>
          <w:szCs w:val="10"/>
          <w:color w:val="auto"/>
        </w:rPr>
        <w:t>This unaudited supplemental financial information covers the fiscal year ended December 31, 2025 and each of the interim periods within that year and reflects (1) the reclassification of the previously separate “selling and marketing” and “general and administrative” line items into the combined “selling, general and administrative” line item, and (2) the recalculation of adjusted net income (loss) for all prior periods presented to include the adjustment for non-core lease costs. This recast of prior period financial information is not a restatement of previous financial statements and does not affect the Company’s GAAP results for any previously reported periods.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Three months ended March 31, 2025</w:t>
            </w:r>
          </w:p>
        </w:tc>
        <w:tc>
          <w:tcPr>
            <w:tcW w:w="10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As previously reported</w:t>
            </w:r>
          </w:p>
        </w:tc>
        <w:tc>
          <w:tcPr>
            <w:tcW w:w="124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GAAP impact of change in</w:t>
            </w:r>
          </w:p>
        </w:tc>
        <w:tc>
          <w:tcPr>
            <w:tcW w:w="160" w:type="dxa"/>
            <w:vAlign w:val="bottom"/>
          </w:tcPr>
          <w:p>
            <w:pPr>
              <w:spacing w:after="0"/>
              <w:rPr>
                <w:sz w:val="10"/>
                <w:szCs w:val="10"/>
                <w:color w:val="auto"/>
              </w:rPr>
            </w:pPr>
          </w:p>
        </w:tc>
        <w:tc>
          <w:tcPr>
            <w:tcW w:w="98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4"/>
              </w:rPr>
              <w:t>As reported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As previously reported</w:t>
            </w:r>
          </w:p>
        </w:tc>
        <w:tc>
          <w:tcPr>
            <w:tcW w:w="80" w:type="dxa"/>
            <w:vAlign w:val="bottom"/>
          </w:tcPr>
          <w:p>
            <w:pPr>
              <w:spacing w:after="0"/>
              <w:rPr>
                <w:sz w:val="10"/>
                <w:szCs w:val="10"/>
                <w:color w:val="auto"/>
              </w:rPr>
            </w:pPr>
          </w:p>
        </w:tc>
        <w:tc>
          <w:tcPr>
            <w:tcW w:w="118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Non-GAAP impact of</w:t>
            </w:r>
          </w:p>
        </w:tc>
        <w:tc>
          <w:tcPr>
            <w:tcW w:w="124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Non-GAAP adjustment for</w:t>
            </w:r>
          </w:p>
        </w:tc>
        <w:tc>
          <w:tcPr>
            <w:tcW w:w="140" w:type="dxa"/>
            <w:vAlign w:val="bottom"/>
          </w:tcPr>
          <w:p>
            <w:pPr>
              <w:spacing w:after="0"/>
              <w:rPr>
                <w:sz w:val="10"/>
                <w:szCs w:val="10"/>
                <w:color w:val="auto"/>
              </w:rPr>
            </w:pPr>
          </w:p>
        </w:tc>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4"/>
              </w:rPr>
              <w:t>As reported</w:t>
            </w:r>
          </w:p>
        </w:tc>
        <w:tc>
          <w:tcPr>
            <w:tcW w:w="0" w:type="dxa"/>
            <w:vAlign w:val="bottom"/>
          </w:tcPr>
          <w:p>
            <w:pPr>
              <w:spacing w:after="0"/>
              <w:rPr>
                <w:sz w:val="1"/>
                <w:szCs w:val="1"/>
                <w:color w:val="auto"/>
              </w:rPr>
            </w:pPr>
          </w:p>
        </w:tc>
      </w:tr>
      <w:tr>
        <w:trPr>
          <w:trHeight w:val="55"/>
        </w:trPr>
        <w:tc>
          <w:tcPr>
            <w:tcW w:w="2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24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vMerge w:val="restart"/>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GAAP Measure</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gridSpan w:val="4"/>
            <w:vMerge w:val="continue"/>
          </w:tcPr>
          <w:p>
            <w:pPr>
              <w:spacing w:after="0"/>
              <w:rPr>
                <w:sz w:val="4"/>
                <w:szCs w:val="4"/>
                <w:color w:val="auto"/>
              </w:rPr>
            </w:pPr>
          </w:p>
        </w:tc>
        <w:tc>
          <w:tcPr>
            <w:tcW w:w="12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restart"/>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6"/>
              </w:rPr>
              <w:t>Adjusted Measure</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3"/>
              </w:rPr>
              <w:t>GAAP Measure</w:t>
            </w:r>
          </w:p>
        </w:tc>
        <w:tc>
          <w:tcPr>
            <w:tcW w:w="180" w:type="dxa"/>
            <w:vAlign w:val="bottom"/>
          </w:tcPr>
          <w:p>
            <w:pPr>
              <w:spacing w:after="0"/>
              <w:rPr>
                <w:sz w:val="11"/>
                <w:szCs w:val="11"/>
                <w:color w:val="auto"/>
              </w:rPr>
            </w:pPr>
          </w:p>
        </w:tc>
        <w:tc>
          <w:tcPr>
            <w:tcW w:w="1060" w:type="dxa"/>
            <w:vAlign w:val="bottom"/>
            <w:gridSpan w:val="4"/>
          </w:tcPr>
          <w:p>
            <w:pPr>
              <w:jc w:val="center"/>
              <w:ind w:right="240"/>
              <w:spacing w:after="0" w:line="135" w:lineRule="exact"/>
              <w:rPr>
                <w:sz w:val="20"/>
                <w:szCs w:val="20"/>
                <w:color w:val="auto"/>
              </w:rPr>
            </w:pPr>
            <w:r>
              <w:rPr>
                <w:rFonts w:ascii="Times New Roman" w:cs="Times New Roman" w:eastAsia="Times New Roman" w:hAnsi="Times New Roman"/>
                <w:sz w:val="10"/>
                <w:szCs w:val="10"/>
                <w:b w:val="1"/>
                <w:bCs w:val="1"/>
                <w:color w:val="auto"/>
                <w:w w:val="92"/>
              </w:rPr>
              <w:t>presentation</w:t>
            </w:r>
            <w:r>
              <w:rPr>
                <w:rFonts w:ascii="Times New Roman" w:cs="Times New Roman" w:eastAsia="Times New Roman" w:hAnsi="Times New Roman"/>
                <w:sz w:val="12"/>
                <w:szCs w:val="12"/>
                <w:b w:val="1"/>
                <w:bCs w:val="1"/>
                <w:color w:val="auto"/>
                <w:w w:val="92"/>
                <w:vertAlign w:val="superscript"/>
              </w:rPr>
              <w:t>(1)</w:t>
            </w:r>
          </w:p>
        </w:tc>
        <w:tc>
          <w:tcPr>
            <w:tcW w:w="1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Non-GAAP Measure</w:t>
            </w:r>
          </w:p>
        </w:tc>
        <w:tc>
          <w:tcPr>
            <w:tcW w:w="80" w:type="dxa"/>
            <w:vAlign w:val="bottom"/>
          </w:tcPr>
          <w:p>
            <w:pPr>
              <w:spacing w:after="0"/>
              <w:rPr>
                <w:sz w:val="11"/>
                <w:szCs w:val="11"/>
                <w:color w:val="auto"/>
              </w:rPr>
            </w:pPr>
          </w:p>
        </w:tc>
        <w:tc>
          <w:tcPr>
            <w:tcW w:w="1180" w:type="dxa"/>
            <w:vAlign w:val="bottom"/>
            <w:gridSpan w:val="4"/>
          </w:tcPr>
          <w:p>
            <w:pPr>
              <w:jc w:val="center"/>
              <w:ind w:right="140"/>
              <w:spacing w:after="0" w:line="135" w:lineRule="exact"/>
              <w:rPr>
                <w:sz w:val="20"/>
                <w:szCs w:val="20"/>
                <w:color w:val="auto"/>
              </w:rPr>
            </w:pPr>
            <w:r>
              <w:rPr>
                <w:rFonts w:ascii="Times New Roman" w:cs="Times New Roman" w:eastAsia="Times New Roman" w:hAnsi="Times New Roman"/>
                <w:sz w:val="10"/>
                <w:szCs w:val="10"/>
                <w:b w:val="1"/>
                <w:bCs w:val="1"/>
                <w:color w:val="auto"/>
                <w:w w:val="94"/>
              </w:rPr>
              <w:t>change in presentation</w:t>
            </w:r>
            <w:r>
              <w:rPr>
                <w:rFonts w:ascii="Times New Roman" w:cs="Times New Roman" w:eastAsia="Times New Roman" w:hAnsi="Times New Roman"/>
                <w:sz w:val="12"/>
                <w:szCs w:val="12"/>
                <w:b w:val="1"/>
                <w:bCs w:val="1"/>
                <w:color w:val="auto"/>
                <w:w w:val="94"/>
                <w:vertAlign w:val="superscript"/>
              </w:rPr>
              <w:t>(1)</w:t>
            </w:r>
          </w:p>
        </w:tc>
        <w:tc>
          <w:tcPr>
            <w:tcW w:w="80" w:type="dxa"/>
            <w:vAlign w:val="bottom"/>
          </w:tcPr>
          <w:p>
            <w:pPr>
              <w:spacing w:after="0"/>
              <w:rPr>
                <w:sz w:val="11"/>
                <w:szCs w:val="11"/>
                <w:color w:val="auto"/>
              </w:rPr>
            </w:pPr>
          </w:p>
        </w:tc>
        <w:tc>
          <w:tcPr>
            <w:tcW w:w="1160" w:type="dxa"/>
            <w:vAlign w:val="bottom"/>
            <w:gridSpan w:val="4"/>
          </w:tcPr>
          <w:p>
            <w:pPr>
              <w:jc w:val="center"/>
              <w:ind w:right="180"/>
              <w:spacing w:after="0" w:line="135" w:lineRule="exact"/>
              <w:rPr>
                <w:sz w:val="20"/>
                <w:szCs w:val="20"/>
                <w:color w:val="auto"/>
              </w:rPr>
            </w:pPr>
            <w:r>
              <w:rPr>
                <w:rFonts w:ascii="Times New Roman" w:cs="Times New Roman" w:eastAsia="Times New Roman" w:hAnsi="Times New Roman"/>
                <w:sz w:val="10"/>
                <w:szCs w:val="10"/>
                <w:b w:val="1"/>
                <w:bCs w:val="1"/>
                <w:color w:val="auto"/>
                <w:w w:val="92"/>
              </w:rPr>
              <w:t>non-core lease costs</w:t>
            </w:r>
            <w:r>
              <w:rPr>
                <w:rFonts w:ascii="Times New Roman" w:cs="Times New Roman" w:eastAsia="Times New Roman" w:hAnsi="Times New Roman"/>
                <w:sz w:val="12"/>
                <w:szCs w:val="12"/>
                <w:b w:val="1"/>
                <w:bCs w:val="1"/>
                <w:color w:val="auto"/>
                <w:w w:val="92"/>
                <w:vertAlign w:val="superscript"/>
              </w:rPr>
              <w:t>(2)</w:t>
            </w:r>
          </w:p>
        </w:tc>
        <w:tc>
          <w:tcPr>
            <w:tcW w:w="1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44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Diagnostic test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85,759</w:t>
            </w: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85,759</w:t>
            </w:r>
          </w:p>
        </w:tc>
        <w:tc>
          <w:tcPr>
            <w:tcW w:w="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112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85,759</w:t>
            </w: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85,759</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Other revenue</w:t>
            </w:r>
          </w:p>
        </w:tc>
        <w:tc>
          <w:tcPr>
            <w:tcW w:w="100" w:type="dxa"/>
            <w:vAlign w:val="bottom"/>
          </w:tcPr>
          <w:p>
            <w:pPr>
              <w:spacing w:after="0"/>
              <w:rPr>
                <w:sz w:val="11"/>
                <w:szCs w:val="11"/>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1,356</w:t>
            </w:r>
          </w:p>
        </w:tc>
        <w:tc>
          <w:tcPr>
            <w:tcW w:w="0" w:type="dxa"/>
            <w:vAlign w:val="bottom"/>
          </w:tcPr>
          <w:p>
            <w:pPr>
              <w:spacing w:after="0"/>
              <w:rPr>
                <w:sz w:val="1"/>
                <w:szCs w:val="1"/>
                <w:color w:val="auto"/>
              </w:rPr>
            </w:pPr>
          </w:p>
        </w:tc>
      </w:tr>
      <w:tr>
        <w:trPr>
          <w:trHeight w:val="130"/>
        </w:trPr>
        <w:tc>
          <w:tcPr>
            <w:tcW w:w="244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Total revenue</w:t>
            </w:r>
          </w:p>
        </w:tc>
        <w:tc>
          <w:tcPr>
            <w:tcW w:w="10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87,115</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87,115</w:t>
            </w: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87,115</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87,115</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Cost of services</w:t>
            </w:r>
          </w:p>
        </w:tc>
        <w:tc>
          <w:tcPr>
            <w:tcW w:w="100" w:type="dxa"/>
            <w:vAlign w:val="bottom"/>
          </w:tcPr>
          <w:p>
            <w:pPr>
              <w:spacing w:after="0"/>
              <w:rPr>
                <w:sz w:val="11"/>
                <w:szCs w:val="11"/>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28,639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28,639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27,396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27,396</w:t>
            </w:r>
          </w:p>
        </w:tc>
        <w:tc>
          <w:tcPr>
            <w:tcW w:w="0" w:type="dxa"/>
            <w:vAlign w:val="bottom"/>
          </w:tcPr>
          <w:p>
            <w:pPr>
              <w:spacing w:after="0"/>
              <w:rPr>
                <w:sz w:val="1"/>
                <w:szCs w:val="1"/>
                <w:color w:val="auto"/>
              </w:rPr>
            </w:pPr>
          </w:p>
        </w:tc>
      </w:tr>
      <w:tr>
        <w:trPr>
          <w:trHeight w:val="130"/>
        </w:trPr>
        <w:tc>
          <w:tcPr>
            <w:tcW w:w="244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Gross profit</w:t>
            </w:r>
          </w:p>
        </w:tc>
        <w:tc>
          <w:tcPr>
            <w:tcW w:w="10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58,476</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58,476</w:t>
            </w: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59,719</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59,719</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Gross margin</w:t>
            </w:r>
          </w:p>
        </w:tc>
        <w:tc>
          <w:tcPr>
            <w:tcW w:w="1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67.1 %</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67.1 %</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68.6 %</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68.6 %</w:t>
            </w:r>
          </w:p>
        </w:tc>
        <w:tc>
          <w:tcPr>
            <w:tcW w:w="0" w:type="dxa"/>
            <w:vAlign w:val="bottom"/>
          </w:tcPr>
          <w:p>
            <w:pPr>
              <w:spacing w:after="0"/>
              <w:rPr>
                <w:sz w:val="1"/>
                <w:szCs w:val="1"/>
                <w:color w:val="auto"/>
              </w:rPr>
            </w:pPr>
          </w:p>
        </w:tc>
      </w:tr>
      <w:tr>
        <w:trPr>
          <w:trHeight w:val="150"/>
        </w:trPr>
        <w:tc>
          <w:tcPr>
            <w:tcW w:w="2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Research and development</w:t>
            </w:r>
          </w:p>
        </w:tc>
        <w:tc>
          <w:tcPr>
            <w:tcW w:w="100" w:type="dxa"/>
            <w:vAlign w:val="bottom"/>
          </w:tcPr>
          <w:p>
            <w:pPr>
              <w:spacing w:after="0"/>
              <w:rPr>
                <w:sz w:val="11"/>
                <w:szCs w:val="11"/>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12,577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12,577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11,758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11,758</w:t>
            </w:r>
          </w:p>
        </w:tc>
        <w:tc>
          <w:tcPr>
            <w:tcW w:w="0" w:type="dxa"/>
            <w:vAlign w:val="bottom"/>
          </w:tcPr>
          <w:p>
            <w:pPr>
              <w:spacing w:after="0"/>
              <w:rPr>
                <w:sz w:val="1"/>
                <w:szCs w:val="1"/>
                <w:color w:val="auto"/>
              </w:rPr>
            </w:pPr>
          </w:p>
        </w:tc>
      </w:tr>
      <w:tr>
        <w:trPr>
          <w:trHeight w:val="14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and marketing</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18,316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(18,316)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16,529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(16,529)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100" w:type="dxa"/>
            <w:vAlign w:val="bottom"/>
          </w:tcPr>
          <w:p>
            <w:pPr>
              <w:spacing w:after="0"/>
              <w:rPr>
                <w:sz w:val="11"/>
                <w:szCs w:val="11"/>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32,134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(32,134)</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23,980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(23,980)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general and administrative</w:t>
            </w:r>
          </w:p>
        </w:tc>
        <w:tc>
          <w:tcPr>
            <w:tcW w:w="10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50,450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50,450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40,509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(1,481)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39,028</w:t>
            </w:r>
          </w:p>
        </w:tc>
        <w:tc>
          <w:tcPr>
            <w:tcW w:w="0" w:type="dxa"/>
            <w:vAlign w:val="bottom"/>
          </w:tcPr>
          <w:p>
            <w:pPr>
              <w:spacing w:after="0"/>
              <w:rPr>
                <w:sz w:val="1"/>
                <w:szCs w:val="1"/>
                <w:color w:val="auto"/>
              </w:rPr>
            </w:pPr>
          </w:p>
        </w:tc>
      </w:tr>
      <w:tr>
        <w:trPr>
          <w:trHeight w:val="118"/>
        </w:trPr>
        <w:tc>
          <w:tcPr>
            <w:tcW w:w="244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(Loss) income from operations</w:t>
            </w: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(4,551)</w:t>
            </w:r>
          </w:p>
        </w:tc>
        <w:tc>
          <w:tcPr>
            <w:tcW w:w="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(4,551)</w:t>
            </w: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7,452</w:t>
            </w:r>
          </w:p>
        </w:tc>
        <w:tc>
          <w:tcPr>
            <w:tcW w:w="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1,481</w:t>
            </w:r>
          </w:p>
        </w:tc>
        <w:tc>
          <w:tcPr>
            <w:tcW w:w="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8,933</w:t>
            </w:r>
          </w:p>
        </w:tc>
        <w:tc>
          <w:tcPr>
            <w:tcW w:w="0" w:type="dxa"/>
            <w:vAlign w:val="bottom"/>
          </w:tcPr>
          <w:p>
            <w:pPr>
              <w:spacing w:after="0"/>
              <w:rPr>
                <w:sz w:val="1"/>
                <w:szCs w:val="1"/>
                <w:color w:val="auto"/>
              </w:rPr>
            </w:pPr>
          </w:p>
        </w:tc>
      </w:tr>
      <w:tr>
        <w:trPr>
          <w:trHeight w:val="150"/>
        </w:trPr>
        <w:tc>
          <w:tcPr>
            <w:tcW w:w="2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Interest expense, net</w:t>
            </w:r>
          </w:p>
        </w:tc>
        <w:tc>
          <w:tcPr>
            <w:tcW w:w="100" w:type="dxa"/>
            <w:vAlign w:val="bottom"/>
          </w:tcPr>
          <w:p>
            <w:pPr>
              <w:spacing w:after="0"/>
              <w:rPr>
                <w:sz w:val="11"/>
                <w:szCs w:val="1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(640)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income, net</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(891)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239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239</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Income tax expense</w:t>
            </w:r>
          </w:p>
        </w:tc>
        <w:tc>
          <w:tcPr>
            <w:tcW w:w="100" w:type="dxa"/>
            <w:vAlign w:val="bottom"/>
          </w:tcPr>
          <w:p>
            <w:pPr>
              <w:spacing w:after="0"/>
              <w:rPr>
                <w:sz w:val="11"/>
                <w:szCs w:val="1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(447)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6"/>
        </w:trPr>
        <w:tc>
          <w:tcPr>
            <w:tcW w:w="2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(6,529)</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(6,529)</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11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7,691</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1,481</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9,172</w:t>
            </w:r>
          </w:p>
        </w:tc>
        <w:tc>
          <w:tcPr>
            <w:tcW w:w="0" w:type="dxa"/>
            <w:vAlign w:val="bottom"/>
          </w:tcPr>
          <w:p>
            <w:pPr>
              <w:spacing w:after="0"/>
              <w:rPr>
                <w:sz w:val="1"/>
                <w:szCs w:val="1"/>
                <w:color w:val="auto"/>
              </w:rPr>
            </w:pPr>
          </w:p>
        </w:tc>
      </w:tr>
      <w:tr>
        <w:trPr>
          <w:trHeight w:val="126"/>
        </w:trPr>
        <w:tc>
          <w:tcPr>
            <w:tcW w:w="2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Basic (loss)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(0.23)</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(0.23)</w:t>
            </w:r>
          </w:p>
        </w:tc>
        <w:tc>
          <w:tcPr>
            <w:tcW w:w="260" w:type="dxa"/>
            <w:vAlign w:val="bottom"/>
            <w:gridSpan w:val="5"/>
            <w:shd w:val="clear" w:color="auto" w:fill="CCEEFF"/>
          </w:tcPr>
          <w:p>
            <w:pPr>
              <w:jc w:val="right"/>
              <w:ind w:right="16"/>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0.27</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0.33</w:t>
            </w:r>
          </w:p>
        </w:tc>
        <w:tc>
          <w:tcPr>
            <w:tcW w:w="0" w:type="dxa"/>
            <w:vAlign w:val="bottom"/>
          </w:tcPr>
          <w:p>
            <w:pPr>
              <w:spacing w:after="0"/>
              <w:rPr>
                <w:sz w:val="1"/>
                <w:szCs w:val="1"/>
                <w:color w:val="auto"/>
              </w:rPr>
            </w:pPr>
          </w:p>
        </w:tc>
      </w:tr>
      <w:tr>
        <w:trPr>
          <w:trHeight w:val="123"/>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Diluted (loss) earnings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(0.23)</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jc w:val="right"/>
              <w:ind w:right="64"/>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(0.23)</w:t>
            </w:r>
          </w:p>
        </w:tc>
        <w:tc>
          <w:tcPr>
            <w:tcW w:w="260" w:type="dxa"/>
            <w:vAlign w:val="bottom"/>
            <w:gridSpan w:val="5"/>
          </w:tcPr>
          <w:p>
            <w:pPr>
              <w:jc w:val="right"/>
              <w:ind w:right="16"/>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0.26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0.31</w:t>
            </w:r>
          </w:p>
        </w:tc>
        <w:tc>
          <w:tcPr>
            <w:tcW w:w="0" w:type="dxa"/>
            <w:vAlign w:val="bottom"/>
          </w:tcPr>
          <w:p>
            <w:pPr>
              <w:spacing w:after="0"/>
              <w:rPr>
                <w:sz w:val="1"/>
                <w:szCs w:val="1"/>
                <w:color w:val="auto"/>
              </w:rPr>
            </w:pPr>
          </w:p>
        </w:tc>
      </w:tr>
      <w:tr>
        <w:trPr>
          <w:trHeight w:val="363"/>
        </w:trPr>
        <w:tc>
          <w:tcPr>
            <w:tcW w:w="2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Three months ended June 30, 2025</w:t>
            </w: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As previously reported</w:t>
            </w:r>
          </w:p>
        </w:tc>
        <w:tc>
          <w:tcPr>
            <w:tcW w:w="124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GAAP impact of change in</w:t>
            </w:r>
          </w:p>
        </w:tc>
        <w:tc>
          <w:tcPr>
            <w:tcW w:w="160" w:type="dxa"/>
            <w:vAlign w:val="bottom"/>
          </w:tcPr>
          <w:p>
            <w:pPr>
              <w:spacing w:after="0"/>
              <w:rPr>
                <w:sz w:val="10"/>
                <w:szCs w:val="10"/>
                <w:color w:val="auto"/>
              </w:rPr>
            </w:pPr>
          </w:p>
        </w:tc>
        <w:tc>
          <w:tcPr>
            <w:tcW w:w="9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4"/>
              </w:rPr>
              <w:t>As reported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As previously reported</w:t>
            </w:r>
          </w:p>
        </w:tc>
        <w:tc>
          <w:tcPr>
            <w:tcW w:w="80" w:type="dxa"/>
            <w:vAlign w:val="bottom"/>
          </w:tcPr>
          <w:p>
            <w:pPr>
              <w:spacing w:after="0"/>
              <w:rPr>
                <w:sz w:val="10"/>
                <w:szCs w:val="10"/>
                <w:color w:val="auto"/>
              </w:rPr>
            </w:pPr>
          </w:p>
        </w:tc>
        <w:tc>
          <w:tcPr>
            <w:tcW w:w="118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Non-GAAP impact of</w:t>
            </w:r>
          </w:p>
        </w:tc>
        <w:tc>
          <w:tcPr>
            <w:tcW w:w="124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6"/>
              </w:rPr>
              <w:t>Non-GAAP adjustment for</w:t>
            </w:r>
          </w:p>
        </w:tc>
        <w:tc>
          <w:tcPr>
            <w:tcW w:w="140" w:type="dxa"/>
            <w:vAlign w:val="bottom"/>
          </w:tcPr>
          <w:p>
            <w:pPr>
              <w:spacing w:after="0"/>
              <w:rPr>
                <w:sz w:val="10"/>
                <w:szCs w:val="10"/>
                <w:color w:val="auto"/>
              </w:rPr>
            </w:pPr>
          </w:p>
        </w:tc>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4"/>
              </w:rPr>
              <w:t>As reported</w:t>
            </w:r>
          </w:p>
        </w:tc>
        <w:tc>
          <w:tcPr>
            <w:tcW w:w="0" w:type="dxa"/>
            <w:vAlign w:val="bottom"/>
          </w:tcPr>
          <w:p>
            <w:pPr>
              <w:spacing w:after="0"/>
              <w:rPr>
                <w:sz w:val="1"/>
                <w:szCs w:val="1"/>
                <w:color w:val="auto"/>
              </w:rPr>
            </w:pPr>
          </w:p>
        </w:tc>
      </w:tr>
      <w:tr>
        <w:trPr>
          <w:trHeight w:val="55"/>
        </w:trPr>
        <w:tc>
          <w:tcPr>
            <w:tcW w:w="2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24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vMerge w:val="restart"/>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GAAP Measure</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gridSpan w:val="4"/>
            <w:vMerge w:val="continue"/>
          </w:tcPr>
          <w:p>
            <w:pPr>
              <w:spacing w:after="0"/>
              <w:rPr>
                <w:sz w:val="4"/>
                <w:szCs w:val="4"/>
                <w:color w:val="auto"/>
              </w:rPr>
            </w:pPr>
          </w:p>
        </w:tc>
        <w:tc>
          <w:tcPr>
            <w:tcW w:w="12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restart"/>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6"/>
              </w:rPr>
              <w:t>Adjusted Measure</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GAAP Measure</w:t>
            </w:r>
          </w:p>
        </w:tc>
        <w:tc>
          <w:tcPr>
            <w:tcW w:w="180" w:type="dxa"/>
            <w:vAlign w:val="bottom"/>
          </w:tcPr>
          <w:p>
            <w:pPr>
              <w:spacing w:after="0"/>
              <w:rPr>
                <w:sz w:val="11"/>
                <w:szCs w:val="11"/>
                <w:color w:val="auto"/>
              </w:rPr>
            </w:pPr>
          </w:p>
        </w:tc>
        <w:tc>
          <w:tcPr>
            <w:tcW w:w="1060" w:type="dxa"/>
            <w:vAlign w:val="bottom"/>
            <w:gridSpan w:val="4"/>
          </w:tcPr>
          <w:p>
            <w:pPr>
              <w:jc w:val="center"/>
              <w:ind w:right="280"/>
              <w:spacing w:after="0" w:line="135" w:lineRule="exact"/>
              <w:rPr>
                <w:sz w:val="20"/>
                <w:szCs w:val="20"/>
                <w:color w:val="auto"/>
              </w:rPr>
            </w:pPr>
            <w:r>
              <w:rPr>
                <w:rFonts w:ascii="Times New Roman" w:cs="Times New Roman" w:eastAsia="Times New Roman" w:hAnsi="Times New Roman"/>
                <w:sz w:val="10"/>
                <w:szCs w:val="10"/>
                <w:b w:val="1"/>
                <w:bCs w:val="1"/>
                <w:color w:val="auto"/>
                <w:w w:val="92"/>
              </w:rPr>
              <w:t>presentation</w:t>
            </w:r>
            <w:r>
              <w:rPr>
                <w:rFonts w:ascii="Times New Roman" w:cs="Times New Roman" w:eastAsia="Times New Roman" w:hAnsi="Times New Roman"/>
                <w:sz w:val="12"/>
                <w:szCs w:val="12"/>
                <w:b w:val="1"/>
                <w:bCs w:val="1"/>
                <w:color w:val="auto"/>
                <w:w w:val="92"/>
                <w:vertAlign w:val="superscript"/>
              </w:rPr>
              <w:t>(1)</w:t>
            </w:r>
          </w:p>
        </w:tc>
        <w:tc>
          <w:tcPr>
            <w:tcW w:w="1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Non-GAAP Measure</w:t>
            </w:r>
          </w:p>
        </w:tc>
        <w:tc>
          <w:tcPr>
            <w:tcW w:w="80" w:type="dxa"/>
            <w:vAlign w:val="bottom"/>
          </w:tcPr>
          <w:p>
            <w:pPr>
              <w:spacing w:after="0"/>
              <w:rPr>
                <w:sz w:val="11"/>
                <w:szCs w:val="11"/>
                <w:color w:val="auto"/>
              </w:rPr>
            </w:pPr>
          </w:p>
        </w:tc>
        <w:tc>
          <w:tcPr>
            <w:tcW w:w="1180" w:type="dxa"/>
            <w:vAlign w:val="bottom"/>
            <w:gridSpan w:val="4"/>
          </w:tcPr>
          <w:p>
            <w:pPr>
              <w:jc w:val="center"/>
              <w:ind w:right="180"/>
              <w:spacing w:after="0" w:line="135" w:lineRule="exact"/>
              <w:rPr>
                <w:sz w:val="20"/>
                <w:szCs w:val="20"/>
                <w:color w:val="auto"/>
              </w:rPr>
            </w:pPr>
            <w:r>
              <w:rPr>
                <w:rFonts w:ascii="Times New Roman" w:cs="Times New Roman" w:eastAsia="Times New Roman" w:hAnsi="Times New Roman"/>
                <w:sz w:val="10"/>
                <w:szCs w:val="10"/>
                <w:b w:val="1"/>
                <w:bCs w:val="1"/>
                <w:color w:val="auto"/>
                <w:w w:val="94"/>
              </w:rPr>
              <w:t>change in presentation</w:t>
            </w:r>
            <w:r>
              <w:rPr>
                <w:rFonts w:ascii="Times New Roman" w:cs="Times New Roman" w:eastAsia="Times New Roman" w:hAnsi="Times New Roman"/>
                <w:sz w:val="12"/>
                <w:szCs w:val="12"/>
                <w:b w:val="1"/>
                <w:bCs w:val="1"/>
                <w:color w:val="auto"/>
                <w:w w:val="94"/>
                <w:vertAlign w:val="superscript"/>
              </w:rPr>
              <w:t>(1)</w:t>
            </w:r>
          </w:p>
        </w:tc>
        <w:tc>
          <w:tcPr>
            <w:tcW w:w="80" w:type="dxa"/>
            <w:vAlign w:val="bottom"/>
          </w:tcPr>
          <w:p>
            <w:pPr>
              <w:spacing w:after="0"/>
              <w:rPr>
                <w:sz w:val="11"/>
                <w:szCs w:val="11"/>
                <w:color w:val="auto"/>
              </w:rPr>
            </w:pPr>
          </w:p>
        </w:tc>
        <w:tc>
          <w:tcPr>
            <w:tcW w:w="1160" w:type="dxa"/>
            <w:vAlign w:val="bottom"/>
            <w:gridSpan w:val="4"/>
          </w:tcPr>
          <w:p>
            <w:pPr>
              <w:jc w:val="center"/>
              <w:ind w:right="200"/>
              <w:spacing w:after="0" w:line="135" w:lineRule="exact"/>
              <w:rPr>
                <w:sz w:val="20"/>
                <w:szCs w:val="20"/>
                <w:color w:val="auto"/>
              </w:rPr>
            </w:pPr>
            <w:r>
              <w:rPr>
                <w:rFonts w:ascii="Times New Roman" w:cs="Times New Roman" w:eastAsia="Times New Roman" w:hAnsi="Times New Roman"/>
                <w:sz w:val="10"/>
                <w:szCs w:val="10"/>
                <w:b w:val="1"/>
                <w:bCs w:val="1"/>
                <w:color w:val="auto"/>
                <w:w w:val="94"/>
              </w:rPr>
              <w:t>non-core lease costs</w:t>
            </w:r>
            <w:r>
              <w:rPr>
                <w:rFonts w:ascii="Times New Roman" w:cs="Times New Roman" w:eastAsia="Times New Roman" w:hAnsi="Times New Roman"/>
                <w:sz w:val="12"/>
                <w:szCs w:val="12"/>
                <w:b w:val="1"/>
                <w:bCs w:val="1"/>
                <w:color w:val="auto"/>
                <w:w w:val="94"/>
                <w:vertAlign w:val="superscript"/>
              </w:rPr>
              <w:t>(2)</w:t>
            </w:r>
          </w:p>
        </w:tc>
        <w:tc>
          <w:tcPr>
            <w:tcW w:w="1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44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Diagnostic test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99,823</w:t>
            </w: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277</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100,100</w:t>
            </w:r>
          </w:p>
        </w:tc>
        <w:tc>
          <w:tcPr>
            <w:tcW w:w="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gridSpan w:val="2"/>
            <w:shd w:val="clear" w:color="auto" w:fill="CCEEFF"/>
          </w:tcPr>
          <w:p>
            <w:pPr>
              <w:spacing w:after="0"/>
              <w:rPr>
                <w:sz w:val="10"/>
                <w:szCs w:val="10"/>
                <w:color w:val="auto"/>
              </w:rPr>
            </w:pPr>
          </w:p>
        </w:tc>
        <w:tc>
          <w:tcPr>
            <w:tcW w:w="100" w:type="dxa"/>
            <w:vAlign w:val="bottom"/>
            <w:tcBorders>
              <w:top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99,823</w:t>
            </w: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277</w:t>
            </w: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100,100</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Other revenue</w:t>
            </w:r>
          </w:p>
        </w:tc>
        <w:tc>
          <w:tcPr>
            <w:tcW w:w="100" w:type="dxa"/>
            <w:vAlign w:val="bottom"/>
          </w:tcPr>
          <w:p>
            <w:pPr>
              <w:spacing w:after="0"/>
              <w:rPr>
                <w:sz w:val="11"/>
                <w:szCs w:val="11"/>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2,869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(277)</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2,592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2,869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2,592</w:t>
            </w:r>
          </w:p>
        </w:tc>
        <w:tc>
          <w:tcPr>
            <w:tcW w:w="0" w:type="dxa"/>
            <w:vAlign w:val="bottom"/>
          </w:tcPr>
          <w:p>
            <w:pPr>
              <w:spacing w:after="0"/>
              <w:rPr>
                <w:sz w:val="1"/>
                <w:szCs w:val="1"/>
                <w:color w:val="auto"/>
              </w:rPr>
            </w:pPr>
          </w:p>
        </w:tc>
      </w:tr>
      <w:tr>
        <w:trPr>
          <w:trHeight w:val="130"/>
        </w:trPr>
        <w:tc>
          <w:tcPr>
            <w:tcW w:w="244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Total revenue</w:t>
            </w:r>
          </w:p>
        </w:tc>
        <w:tc>
          <w:tcPr>
            <w:tcW w:w="10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102,692</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102,692</w:t>
            </w: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102,692</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102,692</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Cost of services</w:t>
            </w:r>
          </w:p>
        </w:tc>
        <w:tc>
          <w:tcPr>
            <w:tcW w:w="100" w:type="dxa"/>
            <w:vAlign w:val="bottom"/>
          </w:tcPr>
          <w:p>
            <w:pPr>
              <w:spacing w:after="0"/>
              <w:rPr>
                <w:sz w:val="11"/>
                <w:szCs w:val="11"/>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31,790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31,790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30,208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30,208</w:t>
            </w:r>
          </w:p>
        </w:tc>
        <w:tc>
          <w:tcPr>
            <w:tcW w:w="0" w:type="dxa"/>
            <w:vAlign w:val="bottom"/>
          </w:tcPr>
          <w:p>
            <w:pPr>
              <w:spacing w:after="0"/>
              <w:rPr>
                <w:sz w:val="1"/>
                <w:szCs w:val="1"/>
                <w:color w:val="auto"/>
              </w:rPr>
            </w:pPr>
          </w:p>
        </w:tc>
      </w:tr>
      <w:tr>
        <w:trPr>
          <w:trHeight w:val="130"/>
        </w:trPr>
        <w:tc>
          <w:tcPr>
            <w:tcW w:w="244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Gross profit</w:t>
            </w:r>
          </w:p>
        </w:tc>
        <w:tc>
          <w:tcPr>
            <w:tcW w:w="10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70,902</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70,902</w:t>
            </w: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72,484</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72,484</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Gross margin</w:t>
            </w:r>
          </w:p>
        </w:tc>
        <w:tc>
          <w:tcPr>
            <w:tcW w:w="1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69.0 %</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69.0 %</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70.6 %</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70.6 %</w:t>
            </w:r>
          </w:p>
        </w:tc>
        <w:tc>
          <w:tcPr>
            <w:tcW w:w="0" w:type="dxa"/>
            <w:vAlign w:val="bottom"/>
          </w:tcPr>
          <w:p>
            <w:pPr>
              <w:spacing w:after="0"/>
              <w:rPr>
                <w:sz w:val="1"/>
                <w:szCs w:val="1"/>
                <w:color w:val="auto"/>
              </w:rPr>
            </w:pPr>
          </w:p>
        </w:tc>
      </w:tr>
      <w:tr>
        <w:trPr>
          <w:trHeight w:val="150"/>
        </w:trPr>
        <w:tc>
          <w:tcPr>
            <w:tcW w:w="2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Research and development</w:t>
            </w:r>
          </w:p>
        </w:tc>
        <w:tc>
          <w:tcPr>
            <w:tcW w:w="100" w:type="dxa"/>
            <w:vAlign w:val="bottom"/>
          </w:tcPr>
          <w:p>
            <w:pPr>
              <w:spacing w:after="0"/>
              <w:rPr>
                <w:sz w:val="11"/>
                <w:szCs w:val="11"/>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15,079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15,079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13,448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13,448</w:t>
            </w:r>
          </w:p>
        </w:tc>
        <w:tc>
          <w:tcPr>
            <w:tcW w:w="0" w:type="dxa"/>
            <w:vAlign w:val="bottom"/>
          </w:tcPr>
          <w:p>
            <w:pPr>
              <w:spacing w:after="0"/>
              <w:rPr>
                <w:sz w:val="1"/>
                <w:szCs w:val="1"/>
                <w:color w:val="auto"/>
              </w:rPr>
            </w:pPr>
          </w:p>
        </w:tc>
      </w:tr>
      <w:tr>
        <w:trPr>
          <w:trHeight w:val="14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and marketing</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19,448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(19,448)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16,882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(16,882)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100" w:type="dxa"/>
            <w:vAlign w:val="bottom"/>
          </w:tcPr>
          <w:p>
            <w:pPr>
              <w:spacing w:after="0"/>
              <w:rPr>
                <w:sz w:val="11"/>
                <w:szCs w:val="11"/>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27,415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(27,415)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27,459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(27,459)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general and administrative</w:t>
            </w:r>
          </w:p>
        </w:tc>
        <w:tc>
          <w:tcPr>
            <w:tcW w:w="10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46,863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46,863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44,341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42,936</w:t>
            </w:r>
          </w:p>
        </w:tc>
        <w:tc>
          <w:tcPr>
            <w:tcW w:w="0" w:type="dxa"/>
            <w:vAlign w:val="bottom"/>
          </w:tcPr>
          <w:p>
            <w:pPr>
              <w:spacing w:after="0"/>
              <w:rPr>
                <w:sz w:val="1"/>
                <w:szCs w:val="1"/>
                <w:color w:val="auto"/>
              </w:rPr>
            </w:pPr>
          </w:p>
        </w:tc>
      </w:tr>
      <w:tr>
        <w:trPr>
          <w:trHeight w:val="118"/>
        </w:trPr>
        <w:tc>
          <w:tcPr>
            <w:tcW w:w="244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Income from operations</w:t>
            </w: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8,960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gridSpan w:val="2"/>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8,960</w:t>
            </w:r>
          </w:p>
        </w:tc>
        <w:tc>
          <w:tcPr>
            <w:tcW w:w="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14,695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gridSpan w:val="2"/>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1,405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16,100</w:t>
            </w:r>
          </w:p>
        </w:tc>
        <w:tc>
          <w:tcPr>
            <w:tcW w:w="0" w:type="dxa"/>
            <w:vAlign w:val="bottom"/>
          </w:tcPr>
          <w:p>
            <w:pPr>
              <w:spacing w:after="0"/>
              <w:rPr>
                <w:sz w:val="1"/>
                <w:szCs w:val="1"/>
                <w:color w:val="auto"/>
              </w:rPr>
            </w:pPr>
          </w:p>
        </w:tc>
      </w:tr>
      <w:tr>
        <w:trPr>
          <w:trHeight w:val="150"/>
        </w:trPr>
        <w:tc>
          <w:tcPr>
            <w:tcW w:w="2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gridSpan w:val="2"/>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Interest expense, net</w:t>
            </w:r>
          </w:p>
        </w:tc>
        <w:tc>
          <w:tcPr>
            <w:tcW w:w="100" w:type="dxa"/>
            <w:vAlign w:val="bottom"/>
          </w:tcPr>
          <w:p>
            <w:pPr>
              <w:spacing w:after="0"/>
              <w:rPr>
                <w:sz w:val="11"/>
                <w:szCs w:val="11"/>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8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income, net</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2,420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2,420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288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288</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Income tax benefit</w:t>
            </w:r>
          </w:p>
        </w:tc>
        <w:tc>
          <w:tcPr>
            <w:tcW w:w="100" w:type="dxa"/>
            <w:vAlign w:val="bottom"/>
          </w:tcPr>
          <w:p>
            <w:pPr>
              <w:spacing w:after="0"/>
              <w:rPr>
                <w:sz w:val="11"/>
                <w:szCs w:val="11"/>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8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6"/>
        </w:trPr>
        <w:tc>
          <w:tcPr>
            <w:tcW w:w="2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10,809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10,809</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14,983</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1,405</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16,388</w:t>
            </w:r>
          </w:p>
        </w:tc>
        <w:tc>
          <w:tcPr>
            <w:tcW w:w="0" w:type="dxa"/>
            <w:vAlign w:val="bottom"/>
          </w:tcPr>
          <w:p>
            <w:pPr>
              <w:spacing w:after="0"/>
              <w:rPr>
                <w:sz w:val="1"/>
                <w:szCs w:val="1"/>
                <w:color w:val="auto"/>
              </w:rPr>
            </w:pPr>
          </w:p>
        </w:tc>
      </w:tr>
      <w:tr>
        <w:trPr>
          <w:trHeight w:val="126"/>
        </w:trPr>
        <w:tc>
          <w:tcPr>
            <w:tcW w:w="2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Basic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0.38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0.38</w:t>
            </w:r>
          </w:p>
        </w:tc>
        <w:tc>
          <w:tcPr>
            <w:tcW w:w="260" w:type="dxa"/>
            <w:vAlign w:val="bottom"/>
            <w:gridSpan w:val="5"/>
            <w:shd w:val="clear" w:color="auto" w:fill="CCEEFF"/>
          </w:tcPr>
          <w:p>
            <w:pPr>
              <w:jc w:val="right"/>
              <w:ind w:right="16"/>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0.52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0.57</w:t>
            </w:r>
          </w:p>
        </w:tc>
        <w:tc>
          <w:tcPr>
            <w:tcW w:w="0" w:type="dxa"/>
            <w:vAlign w:val="bottom"/>
          </w:tcPr>
          <w:p>
            <w:pPr>
              <w:spacing w:after="0"/>
              <w:rPr>
                <w:sz w:val="1"/>
                <w:szCs w:val="1"/>
                <w:color w:val="auto"/>
              </w:rPr>
            </w:pPr>
          </w:p>
        </w:tc>
      </w:tr>
      <w:tr>
        <w:trPr>
          <w:trHeight w:val="123"/>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Diluted earnings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0.36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jc w:val="right"/>
              <w:ind w:right="8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0.36</w:t>
            </w:r>
          </w:p>
        </w:tc>
        <w:tc>
          <w:tcPr>
            <w:tcW w:w="260" w:type="dxa"/>
            <w:vAlign w:val="bottom"/>
            <w:gridSpan w:val="5"/>
          </w:tcPr>
          <w:p>
            <w:pPr>
              <w:jc w:val="right"/>
              <w:ind w:right="16"/>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0.50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0.55</w:t>
            </w:r>
          </w:p>
        </w:tc>
        <w:tc>
          <w:tcPr>
            <w:tcW w:w="0" w:type="dxa"/>
            <w:vAlign w:val="bottom"/>
          </w:tcPr>
          <w:p>
            <w:pPr>
              <w:spacing w:after="0"/>
              <w:rPr>
                <w:sz w:val="1"/>
                <w:szCs w:val="1"/>
                <w:color w:val="auto"/>
              </w:rPr>
            </w:pPr>
          </w:p>
        </w:tc>
      </w:tr>
    </w:tbl>
    <w:p>
      <w:pPr>
        <w:sectPr>
          <w:pgSz w:w="11900" w:h="16838" w:orient="portrait"/>
          <w:cols w:equalWidth="0" w:num="1">
            <w:col w:w="11300"/>
          </w:cols>
          <w:pgMar w:left="300" w:top="125" w:right="29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6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Three months ended September 30, 2025</w:t>
            </w: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As previously reported</w:t>
            </w:r>
          </w:p>
        </w:tc>
        <w:tc>
          <w:tcPr>
            <w:tcW w:w="12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GAAP impact of change in</w:t>
            </w:r>
          </w:p>
        </w:tc>
        <w:tc>
          <w:tcPr>
            <w:tcW w:w="180" w:type="dxa"/>
            <w:vAlign w:val="bottom"/>
          </w:tcPr>
          <w:p>
            <w:pPr>
              <w:spacing w:after="0"/>
              <w:rPr>
                <w:sz w:val="10"/>
                <w:szCs w:val="1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As reported</w:t>
            </w:r>
          </w:p>
        </w:tc>
        <w:tc>
          <w:tcPr>
            <w:tcW w:w="100" w:type="dxa"/>
            <w:vAlign w:val="bottom"/>
          </w:tcPr>
          <w:p>
            <w:pPr>
              <w:spacing w:after="0"/>
              <w:rPr>
                <w:sz w:val="10"/>
                <w:szCs w:val="10"/>
                <w:color w:val="auto"/>
              </w:rPr>
            </w:pPr>
          </w:p>
        </w:tc>
        <w:tc>
          <w:tcPr>
            <w:tcW w:w="12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As previously reported</w:t>
            </w:r>
          </w:p>
        </w:tc>
        <w:tc>
          <w:tcPr>
            <w:tcW w:w="80" w:type="dxa"/>
            <w:vAlign w:val="bottom"/>
          </w:tcPr>
          <w:p>
            <w:pPr>
              <w:spacing w:after="0"/>
              <w:rPr>
                <w:sz w:val="10"/>
                <w:szCs w:val="10"/>
                <w:color w:val="auto"/>
              </w:rPr>
            </w:pP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7"/>
              </w:rPr>
              <w:t>Non-GAAP impact of</w:t>
            </w:r>
          </w:p>
        </w:tc>
        <w:tc>
          <w:tcPr>
            <w:tcW w:w="12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Non-GAAP adjustment for</w:t>
            </w:r>
          </w:p>
        </w:tc>
        <w:tc>
          <w:tcPr>
            <w:tcW w:w="140" w:type="dxa"/>
            <w:vAlign w:val="bottom"/>
          </w:tcPr>
          <w:p>
            <w:pPr>
              <w:spacing w:after="0"/>
              <w:rPr>
                <w:sz w:val="10"/>
                <w:szCs w:val="10"/>
                <w:color w:val="auto"/>
              </w:rPr>
            </w:pPr>
          </w:p>
        </w:tc>
        <w:tc>
          <w:tcPr>
            <w:tcW w:w="110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4"/>
              </w:rPr>
              <w:t>As reported</w:t>
            </w:r>
          </w:p>
        </w:tc>
        <w:tc>
          <w:tcPr>
            <w:tcW w:w="0" w:type="dxa"/>
            <w:vAlign w:val="bottom"/>
          </w:tcPr>
          <w:p>
            <w:pPr>
              <w:spacing w:after="0"/>
              <w:rPr>
                <w:sz w:val="1"/>
                <w:szCs w:val="1"/>
                <w:color w:val="auto"/>
              </w:rPr>
            </w:pPr>
          </w:p>
        </w:tc>
      </w:tr>
      <w:tr>
        <w:trPr>
          <w:trHeight w:val="55"/>
        </w:trPr>
        <w:tc>
          <w:tcPr>
            <w:tcW w:w="2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GAAP Measure</w:t>
            </w: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Adjusted Measure</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3"/>
              </w:rPr>
              <w:t>GAAP Measure</w:t>
            </w:r>
          </w:p>
        </w:tc>
        <w:tc>
          <w:tcPr>
            <w:tcW w:w="18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0"/>
                <w:szCs w:val="10"/>
                <w:b w:val="1"/>
                <w:bCs w:val="1"/>
                <w:color w:val="auto"/>
                <w:w w:val="92"/>
              </w:rPr>
              <w:t>presentation</w:t>
            </w:r>
            <w:r>
              <w:rPr>
                <w:rFonts w:ascii="Times New Roman" w:cs="Times New Roman" w:eastAsia="Times New Roman" w:hAnsi="Times New Roman"/>
                <w:sz w:val="12"/>
                <w:szCs w:val="12"/>
                <w:b w:val="1"/>
                <w:bCs w:val="1"/>
                <w:color w:val="auto"/>
                <w:w w:val="92"/>
                <w:vertAlign w:val="superscript"/>
              </w:rPr>
              <w:t>(1)</w:t>
            </w: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Non-GAAP Measure</w:t>
            </w:r>
          </w:p>
        </w:tc>
        <w:tc>
          <w:tcPr>
            <w:tcW w:w="80" w:type="dxa"/>
            <w:vAlign w:val="bottom"/>
          </w:tcPr>
          <w:p>
            <w:pPr>
              <w:spacing w:after="0"/>
              <w:rPr>
                <w:sz w:val="11"/>
                <w:szCs w:val="11"/>
                <w:color w:val="auto"/>
              </w:rPr>
            </w:pPr>
          </w:p>
        </w:tc>
        <w:tc>
          <w:tcPr>
            <w:tcW w:w="11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0"/>
                <w:szCs w:val="10"/>
                <w:b w:val="1"/>
                <w:bCs w:val="1"/>
                <w:color w:val="auto"/>
                <w:w w:val="94"/>
              </w:rPr>
              <w:t>change in presentation</w:t>
            </w:r>
            <w:r>
              <w:rPr>
                <w:rFonts w:ascii="Times New Roman" w:cs="Times New Roman" w:eastAsia="Times New Roman" w:hAnsi="Times New Roman"/>
                <w:sz w:val="12"/>
                <w:szCs w:val="12"/>
                <w:b w:val="1"/>
                <w:bCs w:val="1"/>
                <w:color w:val="auto"/>
                <w:w w:val="94"/>
                <w:vertAlign w:val="superscript"/>
              </w:rPr>
              <w:t>(1)</w:t>
            </w:r>
          </w:p>
        </w:tc>
        <w:tc>
          <w:tcPr>
            <w:tcW w:w="100" w:type="dxa"/>
            <w:vAlign w:val="bottom"/>
          </w:tcPr>
          <w:p>
            <w:pPr>
              <w:spacing w:after="0"/>
              <w:rPr>
                <w:sz w:val="11"/>
                <w:szCs w:val="11"/>
                <w:color w:val="auto"/>
              </w:rPr>
            </w:pPr>
          </w:p>
        </w:tc>
        <w:tc>
          <w:tcPr>
            <w:tcW w:w="11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0"/>
                <w:szCs w:val="10"/>
                <w:b w:val="1"/>
                <w:bCs w:val="1"/>
                <w:color w:val="auto"/>
                <w:w w:val="94"/>
              </w:rPr>
              <w:t>non-core lease costs</w:t>
            </w:r>
            <w:r>
              <w:rPr>
                <w:rFonts w:ascii="Times New Roman" w:cs="Times New Roman" w:eastAsia="Times New Roman" w:hAnsi="Times New Roman"/>
                <w:sz w:val="12"/>
                <w:szCs w:val="12"/>
                <w:b w:val="1"/>
                <w:bCs w:val="1"/>
                <w:color w:val="auto"/>
                <w:w w:val="94"/>
                <w:vertAlign w:val="superscript"/>
              </w:rPr>
              <w:t>(2)</w:t>
            </w:r>
          </w:p>
        </w:tc>
        <w:tc>
          <w:tcPr>
            <w:tcW w:w="1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44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Diagnostic test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113,523</w:t>
            </w: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113,523</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113,523</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113,523</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Other revenue</w:t>
            </w:r>
          </w:p>
        </w:tc>
        <w:tc>
          <w:tcPr>
            <w:tcW w:w="1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3,220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3,220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3,220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3,220</w:t>
            </w:r>
          </w:p>
        </w:tc>
        <w:tc>
          <w:tcPr>
            <w:tcW w:w="0" w:type="dxa"/>
            <w:vAlign w:val="bottom"/>
          </w:tcPr>
          <w:p>
            <w:pPr>
              <w:spacing w:after="0"/>
              <w:rPr>
                <w:sz w:val="1"/>
                <w:szCs w:val="1"/>
                <w:color w:val="auto"/>
              </w:rPr>
            </w:pPr>
          </w:p>
        </w:tc>
      </w:tr>
      <w:tr>
        <w:trPr>
          <w:trHeight w:val="130"/>
        </w:trPr>
        <w:tc>
          <w:tcPr>
            <w:tcW w:w="244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Total revenue</w:t>
            </w:r>
          </w:p>
        </w:tc>
        <w:tc>
          <w:tcPr>
            <w:tcW w:w="1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116,743</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116,743</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116,743</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116,743</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Cost of services</w:t>
            </w:r>
          </w:p>
        </w:tc>
        <w:tc>
          <w:tcPr>
            <w:tcW w:w="1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32,216</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32,216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30,623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30,623</w:t>
            </w:r>
          </w:p>
        </w:tc>
        <w:tc>
          <w:tcPr>
            <w:tcW w:w="0" w:type="dxa"/>
            <w:vAlign w:val="bottom"/>
          </w:tcPr>
          <w:p>
            <w:pPr>
              <w:spacing w:after="0"/>
              <w:rPr>
                <w:sz w:val="1"/>
                <w:szCs w:val="1"/>
                <w:color w:val="auto"/>
              </w:rPr>
            </w:pPr>
          </w:p>
        </w:tc>
      </w:tr>
      <w:tr>
        <w:trPr>
          <w:trHeight w:val="130"/>
        </w:trPr>
        <w:tc>
          <w:tcPr>
            <w:tcW w:w="244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Gross profit</w:t>
            </w:r>
          </w:p>
        </w:tc>
        <w:tc>
          <w:tcPr>
            <w:tcW w:w="1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84,527</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84,527</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86,120</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86,120</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Gross margin</w:t>
            </w:r>
          </w:p>
        </w:tc>
        <w:tc>
          <w:tcPr>
            <w:tcW w:w="1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72.4 %</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72.4 %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73.8 %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73.8 %</w:t>
            </w:r>
          </w:p>
        </w:tc>
        <w:tc>
          <w:tcPr>
            <w:tcW w:w="0" w:type="dxa"/>
            <w:vAlign w:val="bottom"/>
          </w:tcPr>
          <w:p>
            <w:pPr>
              <w:spacing w:after="0"/>
              <w:rPr>
                <w:sz w:val="1"/>
                <w:szCs w:val="1"/>
                <w:color w:val="auto"/>
              </w:rPr>
            </w:pPr>
          </w:p>
        </w:tc>
      </w:tr>
      <w:tr>
        <w:trPr>
          <w:trHeight w:val="150"/>
        </w:trPr>
        <w:tc>
          <w:tcPr>
            <w:tcW w:w="2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Research and development</w:t>
            </w:r>
          </w:p>
        </w:tc>
        <w:tc>
          <w:tcPr>
            <w:tcW w:w="1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19,829</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19,829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18,034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18,034</w:t>
            </w:r>
          </w:p>
        </w:tc>
        <w:tc>
          <w:tcPr>
            <w:tcW w:w="0" w:type="dxa"/>
            <w:vAlign w:val="bottom"/>
          </w:tcPr>
          <w:p>
            <w:pPr>
              <w:spacing w:after="0"/>
              <w:rPr>
                <w:sz w:val="1"/>
                <w:szCs w:val="1"/>
                <w:color w:val="auto"/>
              </w:rPr>
            </w:pPr>
          </w:p>
        </w:tc>
      </w:tr>
      <w:tr>
        <w:trPr>
          <w:trHeight w:val="14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and marketing</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23,510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(23,510)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20,366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(20,366)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1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44,439</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(44,439)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32,809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(32,809)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general and administrative</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67,949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67,949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53,175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(1,323)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51,852</w:t>
            </w:r>
          </w:p>
        </w:tc>
        <w:tc>
          <w:tcPr>
            <w:tcW w:w="0" w:type="dxa"/>
            <w:vAlign w:val="bottom"/>
          </w:tcPr>
          <w:p>
            <w:pPr>
              <w:spacing w:after="0"/>
              <w:rPr>
                <w:sz w:val="1"/>
                <w:szCs w:val="1"/>
                <w:color w:val="auto"/>
              </w:rPr>
            </w:pPr>
          </w:p>
        </w:tc>
      </w:tr>
      <w:tr>
        <w:trPr>
          <w:trHeight w:val="118"/>
        </w:trPr>
        <w:tc>
          <w:tcPr>
            <w:tcW w:w="244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(Loss) income from operations</w:t>
            </w: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(3,251)</w:t>
            </w:r>
          </w:p>
        </w:tc>
        <w:tc>
          <w:tcPr>
            <w:tcW w:w="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(3,251)</w:t>
            </w: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14,911</w:t>
            </w: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1,323</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16,234</w:t>
            </w:r>
          </w:p>
        </w:tc>
        <w:tc>
          <w:tcPr>
            <w:tcW w:w="0" w:type="dxa"/>
            <w:vAlign w:val="bottom"/>
          </w:tcPr>
          <w:p>
            <w:pPr>
              <w:spacing w:after="0"/>
              <w:rPr>
                <w:sz w:val="1"/>
                <w:szCs w:val="1"/>
                <w:color w:val="auto"/>
              </w:rPr>
            </w:pPr>
          </w:p>
        </w:tc>
      </w:tr>
      <w:tr>
        <w:trPr>
          <w:trHeight w:val="150"/>
        </w:trPr>
        <w:tc>
          <w:tcPr>
            <w:tcW w:w="2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Interest expense, net</w:t>
            </w:r>
          </w:p>
        </w:tc>
        <w:tc>
          <w:tcPr>
            <w:tcW w:w="100" w:type="dxa"/>
            <w:vAlign w:val="bottom"/>
          </w:tcPr>
          <w:p>
            <w:pPr>
              <w:spacing w:after="0"/>
              <w:rPr>
                <w:sz w:val="11"/>
                <w:szCs w:val="11"/>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(562)</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expense, net</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(3,575)</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(3,575)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(176)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(176)</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Income tax expense</w:t>
            </w:r>
          </w:p>
        </w:tc>
        <w:tc>
          <w:tcPr>
            <w:tcW w:w="100" w:type="dxa"/>
            <w:vAlign w:val="bottom"/>
          </w:tcPr>
          <w:p>
            <w:pPr>
              <w:spacing w:after="0"/>
              <w:rPr>
                <w:sz w:val="11"/>
                <w:szCs w:val="11"/>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(247)</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6"/>
        </w:trPr>
        <w:tc>
          <w:tcPr>
            <w:tcW w:w="2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(7,635)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(7,635)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14,735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1,323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16,058</w:t>
            </w:r>
          </w:p>
        </w:tc>
        <w:tc>
          <w:tcPr>
            <w:tcW w:w="0" w:type="dxa"/>
            <w:vAlign w:val="bottom"/>
          </w:tcPr>
          <w:p>
            <w:pPr>
              <w:spacing w:after="0"/>
              <w:rPr>
                <w:sz w:val="1"/>
                <w:szCs w:val="1"/>
                <w:color w:val="auto"/>
              </w:rPr>
            </w:pPr>
          </w:p>
        </w:tc>
      </w:tr>
      <w:tr>
        <w:trPr>
          <w:trHeight w:val="126"/>
        </w:trPr>
        <w:tc>
          <w:tcPr>
            <w:tcW w:w="2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Basic (loss)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(0.27)</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(0.27)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0.51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0.56</w:t>
            </w:r>
          </w:p>
        </w:tc>
        <w:tc>
          <w:tcPr>
            <w:tcW w:w="0" w:type="dxa"/>
            <w:vAlign w:val="bottom"/>
          </w:tcPr>
          <w:p>
            <w:pPr>
              <w:spacing w:after="0"/>
              <w:rPr>
                <w:sz w:val="1"/>
                <w:szCs w:val="1"/>
                <w:color w:val="auto"/>
              </w:rPr>
            </w:pPr>
          </w:p>
        </w:tc>
      </w:tr>
      <w:tr>
        <w:trPr>
          <w:trHeight w:val="123"/>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Diluted (loss) earnings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(0.27)</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(0.27)</w:t>
            </w:r>
          </w:p>
        </w:tc>
        <w:tc>
          <w:tcPr>
            <w:tcW w:w="6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0.49</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0.53</w:t>
            </w:r>
          </w:p>
        </w:tc>
        <w:tc>
          <w:tcPr>
            <w:tcW w:w="0" w:type="dxa"/>
            <w:vAlign w:val="bottom"/>
          </w:tcPr>
          <w:p>
            <w:pPr>
              <w:spacing w:after="0"/>
              <w:rPr>
                <w:sz w:val="1"/>
                <w:szCs w:val="1"/>
                <w:color w:val="auto"/>
              </w:rPr>
            </w:pPr>
          </w:p>
        </w:tc>
      </w:tr>
      <w:tr>
        <w:trPr>
          <w:trHeight w:val="363"/>
        </w:trPr>
        <w:tc>
          <w:tcPr>
            <w:tcW w:w="2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Three months ended December 31, 2025</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As previously reported</w:t>
            </w:r>
          </w:p>
        </w:tc>
        <w:tc>
          <w:tcPr>
            <w:tcW w:w="12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GAAP impact of change in</w:t>
            </w:r>
          </w:p>
        </w:tc>
        <w:tc>
          <w:tcPr>
            <w:tcW w:w="180" w:type="dxa"/>
            <w:vAlign w:val="bottom"/>
          </w:tcPr>
          <w:p>
            <w:pPr>
              <w:spacing w:after="0"/>
              <w:rPr>
                <w:sz w:val="10"/>
                <w:szCs w:val="1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As reported</w:t>
            </w:r>
          </w:p>
        </w:tc>
        <w:tc>
          <w:tcPr>
            <w:tcW w:w="100" w:type="dxa"/>
            <w:vAlign w:val="bottom"/>
          </w:tcPr>
          <w:p>
            <w:pPr>
              <w:spacing w:after="0"/>
              <w:rPr>
                <w:sz w:val="10"/>
                <w:szCs w:val="10"/>
                <w:color w:val="auto"/>
              </w:rPr>
            </w:pPr>
          </w:p>
        </w:tc>
        <w:tc>
          <w:tcPr>
            <w:tcW w:w="12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As previously reported</w:t>
            </w:r>
          </w:p>
        </w:tc>
        <w:tc>
          <w:tcPr>
            <w:tcW w:w="80" w:type="dxa"/>
            <w:vAlign w:val="bottom"/>
          </w:tcPr>
          <w:p>
            <w:pPr>
              <w:spacing w:after="0"/>
              <w:rPr>
                <w:sz w:val="10"/>
                <w:szCs w:val="10"/>
                <w:color w:val="auto"/>
              </w:rPr>
            </w:pP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7"/>
              </w:rPr>
              <w:t>Non-GAAP impact of</w:t>
            </w:r>
          </w:p>
        </w:tc>
        <w:tc>
          <w:tcPr>
            <w:tcW w:w="12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Non-GAAP adjustment for</w:t>
            </w:r>
          </w:p>
        </w:tc>
        <w:tc>
          <w:tcPr>
            <w:tcW w:w="140" w:type="dxa"/>
            <w:vAlign w:val="bottom"/>
          </w:tcPr>
          <w:p>
            <w:pPr>
              <w:spacing w:after="0"/>
              <w:rPr>
                <w:sz w:val="10"/>
                <w:szCs w:val="10"/>
                <w:color w:val="auto"/>
              </w:rPr>
            </w:pPr>
          </w:p>
        </w:tc>
        <w:tc>
          <w:tcPr>
            <w:tcW w:w="110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4"/>
              </w:rPr>
              <w:t>As reported</w:t>
            </w:r>
          </w:p>
        </w:tc>
        <w:tc>
          <w:tcPr>
            <w:tcW w:w="0" w:type="dxa"/>
            <w:vAlign w:val="bottom"/>
          </w:tcPr>
          <w:p>
            <w:pPr>
              <w:spacing w:after="0"/>
              <w:rPr>
                <w:sz w:val="1"/>
                <w:szCs w:val="1"/>
                <w:color w:val="auto"/>
              </w:rPr>
            </w:pPr>
          </w:p>
        </w:tc>
      </w:tr>
      <w:tr>
        <w:trPr>
          <w:trHeight w:val="55"/>
        </w:trPr>
        <w:tc>
          <w:tcPr>
            <w:tcW w:w="2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GAAP Measure</w:t>
            </w: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Adjusted Measure</w:t>
            </w:r>
          </w:p>
        </w:tc>
        <w:tc>
          <w:tcPr>
            <w:tcW w:w="0" w:type="dxa"/>
            <w:vAlign w:val="bottom"/>
          </w:tcPr>
          <w:p>
            <w:pPr>
              <w:spacing w:after="0"/>
              <w:rPr>
                <w:sz w:val="1"/>
                <w:szCs w:val="1"/>
                <w:color w:val="auto"/>
              </w:rPr>
            </w:pPr>
          </w:p>
        </w:tc>
      </w:tr>
      <w:tr>
        <w:trPr>
          <w:trHeight w:val="130"/>
        </w:trPr>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3"/>
              </w:rPr>
              <w:t>GAAP Measure</w:t>
            </w:r>
          </w:p>
        </w:tc>
        <w:tc>
          <w:tcPr>
            <w:tcW w:w="180" w:type="dxa"/>
            <w:vAlign w:val="bottom"/>
          </w:tcPr>
          <w:p>
            <w:pPr>
              <w:spacing w:after="0"/>
              <w:rPr>
                <w:sz w:val="11"/>
                <w:szCs w:val="1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presentation</w:t>
            </w:r>
            <w:r>
              <w:rPr>
                <w:rFonts w:ascii="Times New Roman" w:cs="Times New Roman" w:eastAsia="Times New Roman" w:hAnsi="Times New Roman"/>
                <w:sz w:val="6"/>
                <w:szCs w:val="6"/>
                <w:b w:val="1"/>
                <w:bCs w:val="1"/>
                <w:color w:val="auto"/>
                <w:w w:val="96"/>
              </w:rPr>
              <w:t>(1)</w:t>
            </w: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Non-GAAP Measure</w:t>
            </w:r>
          </w:p>
        </w:tc>
        <w:tc>
          <w:tcPr>
            <w:tcW w:w="80" w:type="dxa"/>
            <w:vAlign w:val="bottom"/>
          </w:tcPr>
          <w:p>
            <w:pPr>
              <w:spacing w:after="0"/>
              <w:rPr>
                <w:sz w:val="11"/>
                <w:szCs w:val="11"/>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change in presentation</w:t>
            </w:r>
            <w:r>
              <w:rPr>
                <w:rFonts w:ascii="Times New Roman" w:cs="Times New Roman" w:eastAsia="Times New Roman" w:hAnsi="Times New Roman"/>
                <w:sz w:val="6"/>
                <w:szCs w:val="6"/>
                <w:b w:val="1"/>
                <w:bCs w:val="1"/>
                <w:color w:val="auto"/>
                <w:w w:val="96"/>
              </w:rPr>
              <w:t>(1)</w:t>
            </w:r>
          </w:p>
        </w:tc>
        <w:tc>
          <w:tcPr>
            <w:tcW w:w="100" w:type="dxa"/>
            <w:vAlign w:val="bottom"/>
          </w:tcPr>
          <w:p>
            <w:pPr>
              <w:spacing w:after="0"/>
              <w:rPr>
                <w:sz w:val="11"/>
                <w:szCs w:val="11"/>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non-core lease costs</w:t>
            </w:r>
            <w:r>
              <w:rPr>
                <w:rFonts w:ascii="Times New Roman" w:cs="Times New Roman" w:eastAsia="Times New Roman" w:hAnsi="Times New Roman"/>
                <w:sz w:val="6"/>
                <w:szCs w:val="6"/>
                <w:b w:val="1"/>
                <w:bCs w:val="1"/>
                <w:color w:val="auto"/>
                <w:w w:val="96"/>
              </w:rPr>
              <w:t>(2)</w:t>
            </w:r>
          </w:p>
        </w:tc>
        <w:tc>
          <w:tcPr>
            <w:tcW w:w="1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440" w:type="dxa"/>
            <w:vAlign w:val="bottom"/>
            <w:tcBorders>
              <w:top w:val="single" w:sz="8" w:color="CCEEFF"/>
            </w:tcBorders>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Diagnostic test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117,286</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117,286</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117,286</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117,286</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Other revenue</w:t>
            </w:r>
          </w:p>
        </w:tc>
        <w:tc>
          <w:tcPr>
            <w:tcW w:w="1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3,703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3,703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3,703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3,703</w:t>
            </w:r>
          </w:p>
        </w:tc>
        <w:tc>
          <w:tcPr>
            <w:tcW w:w="0" w:type="dxa"/>
            <w:vAlign w:val="bottom"/>
          </w:tcPr>
          <w:p>
            <w:pPr>
              <w:spacing w:after="0"/>
              <w:rPr>
                <w:sz w:val="1"/>
                <w:szCs w:val="1"/>
                <w:color w:val="auto"/>
              </w:rPr>
            </w:pPr>
          </w:p>
        </w:tc>
      </w:tr>
      <w:tr>
        <w:trPr>
          <w:trHeight w:val="130"/>
        </w:trPr>
        <w:tc>
          <w:tcPr>
            <w:tcW w:w="244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Total revenue</w:t>
            </w:r>
          </w:p>
        </w:tc>
        <w:tc>
          <w:tcPr>
            <w:tcW w:w="1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120,989</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120,989</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120,989</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120,989</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Cost of services</w:t>
            </w:r>
          </w:p>
        </w:tc>
        <w:tc>
          <w:tcPr>
            <w:tcW w:w="1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36,721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36,721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34,974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34,974</w:t>
            </w:r>
          </w:p>
        </w:tc>
        <w:tc>
          <w:tcPr>
            <w:tcW w:w="0" w:type="dxa"/>
            <w:vAlign w:val="bottom"/>
          </w:tcPr>
          <w:p>
            <w:pPr>
              <w:spacing w:after="0"/>
              <w:rPr>
                <w:sz w:val="1"/>
                <w:szCs w:val="1"/>
                <w:color w:val="auto"/>
              </w:rPr>
            </w:pPr>
          </w:p>
        </w:tc>
      </w:tr>
      <w:tr>
        <w:trPr>
          <w:trHeight w:val="130"/>
        </w:trPr>
        <w:tc>
          <w:tcPr>
            <w:tcW w:w="244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Gross profit</w:t>
            </w:r>
          </w:p>
        </w:tc>
        <w:tc>
          <w:tcPr>
            <w:tcW w:w="1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84,268</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84,268</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86,015</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86,015</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Gross margin</w:t>
            </w:r>
          </w:p>
        </w:tc>
        <w:tc>
          <w:tcPr>
            <w:tcW w:w="1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69.6 %</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69.6 %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71.1 %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71.1 %</w:t>
            </w:r>
          </w:p>
        </w:tc>
        <w:tc>
          <w:tcPr>
            <w:tcW w:w="0" w:type="dxa"/>
            <w:vAlign w:val="bottom"/>
          </w:tcPr>
          <w:p>
            <w:pPr>
              <w:spacing w:after="0"/>
              <w:rPr>
                <w:sz w:val="1"/>
                <w:szCs w:val="1"/>
                <w:color w:val="auto"/>
              </w:rPr>
            </w:pPr>
          </w:p>
        </w:tc>
      </w:tr>
      <w:tr>
        <w:trPr>
          <w:trHeight w:val="150"/>
        </w:trPr>
        <w:tc>
          <w:tcPr>
            <w:tcW w:w="2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Research and development</w:t>
            </w:r>
          </w:p>
        </w:tc>
        <w:tc>
          <w:tcPr>
            <w:tcW w:w="1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24,541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24,541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22,256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22,256</w:t>
            </w:r>
          </w:p>
        </w:tc>
        <w:tc>
          <w:tcPr>
            <w:tcW w:w="0" w:type="dxa"/>
            <w:vAlign w:val="bottom"/>
          </w:tcPr>
          <w:p>
            <w:pPr>
              <w:spacing w:after="0"/>
              <w:rPr>
                <w:sz w:val="1"/>
                <w:szCs w:val="1"/>
                <w:color w:val="auto"/>
              </w:rPr>
            </w:pPr>
          </w:p>
        </w:tc>
      </w:tr>
      <w:tr>
        <w:trPr>
          <w:trHeight w:val="14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and marketing</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27,131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(27,131)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24,137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(24,137)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1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46,831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(46,831)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35,383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(35,383)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general and administrative</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73,962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73,962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59,520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(1,182)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58,338</w:t>
            </w:r>
          </w:p>
        </w:tc>
        <w:tc>
          <w:tcPr>
            <w:tcW w:w="0" w:type="dxa"/>
            <w:vAlign w:val="bottom"/>
          </w:tcPr>
          <w:p>
            <w:pPr>
              <w:spacing w:after="0"/>
              <w:rPr>
                <w:sz w:val="1"/>
                <w:szCs w:val="1"/>
                <w:color w:val="auto"/>
              </w:rPr>
            </w:pPr>
          </w:p>
        </w:tc>
      </w:tr>
      <w:tr>
        <w:trPr>
          <w:trHeight w:val="118"/>
        </w:trPr>
        <w:tc>
          <w:tcPr>
            <w:tcW w:w="244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(Loss) income from operations</w:t>
            </w: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(14,235)</w:t>
            </w:r>
          </w:p>
        </w:tc>
        <w:tc>
          <w:tcPr>
            <w:tcW w:w="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(14,235)</w:t>
            </w: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4,239</w:t>
            </w: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1,182</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5,421</w:t>
            </w:r>
          </w:p>
        </w:tc>
        <w:tc>
          <w:tcPr>
            <w:tcW w:w="0" w:type="dxa"/>
            <w:vAlign w:val="bottom"/>
          </w:tcPr>
          <w:p>
            <w:pPr>
              <w:spacing w:after="0"/>
              <w:rPr>
                <w:sz w:val="1"/>
                <w:szCs w:val="1"/>
                <w:color w:val="auto"/>
              </w:rPr>
            </w:pPr>
          </w:p>
        </w:tc>
      </w:tr>
      <w:tr>
        <w:trPr>
          <w:trHeight w:val="150"/>
        </w:trPr>
        <w:tc>
          <w:tcPr>
            <w:tcW w:w="2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Interest expense, net</w:t>
            </w:r>
          </w:p>
        </w:tc>
        <w:tc>
          <w:tcPr>
            <w:tcW w:w="100" w:type="dxa"/>
            <w:vAlign w:val="bottom"/>
          </w:tcPr>
          <w:p>
            <w:pPr>
              <w:spacing w:after="0"/>
              <w:rPr>
                <w:sz w:val="11"/>
                <w:szCs w:val="11"/>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(520)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(520)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(expense) income, net</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(3,475)</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(3,475)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161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161</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Income tax benefit</w:t>
            </w:r>
          </w:p>
        </w:tc>
        <w:tc>
          <w:tcPr>
            <w:tcW w:w="1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564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6"/>
        </w:trPr>
        <w:tc>
          <w:tcPr>
            <w:tcW w:w="2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(17,666)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(17,666)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4,400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5,582</w:t>
            </w:r>
          </w:p>
        </w:tc>
        <w:tc>
          <w:tcPr>
            <w:tcW w:w="0" w:type="dxa"/>
            <w:vAlign w:val="bottom"/>
          </w:tcPr>
          <w:p>
            <w:pPr>
              <w:spacing w:after="0"/>
              <w:rPr>
                <w:sz w:val="1"/>
                <w:szCs w:val="1"/>
                <w:color w:val="auto"/>
              </w:rPr>
            </w:pPr>
          </w:p>
        </w:tc>
      </w:tr>
      <w:tr>
        <w:trPr>
          <w:trHeight w:val="126"/>
        </w:trPr>
        <w:tc>
          <w:tcPr>
            <w:tcW w:w="2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Basic (loss)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(0.61)</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(0.61)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0.15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0.19</w:t>
            </w:r>
          </w:p>
        </w:tc>
        <w:tc>
          <w:tcPr>
            <w:tcW w:w="0" w:type="dxa"/>
            <w:vAlign w:val="bottom"/>
          </w:tcPr>
          <w:p>
            <w:pPr>
              <w:spacing w:after="0"/>
              <w:rPr>
                <w:sz w:val="1"/>
                <w:szCs w:val="1"/>
                <w:color w:val="auto"/>
              </w:rPr>
            </w:pPr>
          </w:p>
        </w:tc>
      </w:tr>
      <w:tr>
        <w:trPr>
          <w:trHeight w:val="123"/>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Diluted (loss) earnings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(0.61)</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(0.61)</w:t>
            </w:r>
          </w:p>
        </w:tc>
        <w:tc>
          <w:tcPr>
            <w:tcW w:w="6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0.14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0.18</w:t>
            </w:r>
          </w:p>
        </w:tc>
        <w:tc>
          <w:tcPr>
            <w:tcW w:w="0" w:type="dxa"/>
            <w:vAlign w:val="bottom"/>
          </w:tcPr>
          <w:p>
            <w:pPr>
              <w:spacing w:after="0"/>
              <w:rPr>
                <w:sz w:val="1"/>
                <w:szCs w:val="1"/>
                <w:color w:val="auto"/>
              </w:rPr>
            </w:pPr>
          </w:p>
        </w:tc>
      </w:tr>
    </w:tbl>
    <w:p>
      <w:pPr>
        <w:sectPr>
          <w:pgSz w:w="11900" w:h="16838" w:orient="portrait"/>
          <w:cols w:equalWidth="0" w:num="1">
            <w:col w:w="11300"/>
          </w:cols>
          <w:pgMar w:left="300" w:top="690" w:right="299" w:bottom="1440" w:gutter="0" w:footer="0" w:header="0"/>
        </w:sectPr>
      </w:pPr>
    </w:p>
    <w:bookmarkStart w:id="13" w:name="page14"/>
    <w:bookmarkEnd w:id="13"/>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2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w w:val="99"/>
              </w:rPr>
              <w:t>Year ended December 31, 2025</w:t>
            </w: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As previously reported</w:t>
            </w:r>
          </w:p>
        </w:tc>
        <w:tc>
          <w:tcPr>
            <w:tcW w:w="12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GAAP impact of change in</w:t>
            </w:r>
          </w:p>
        </w:tc>
        <w:tc>
          <w:tcPr>
            <w:tcW w:w="180" w:type="dxa"/>
            <w:vAlign w:val="bottom"/>
          </w:tcPr>
          <w:p>
            <w:pPr>
              <w:spacing w:after="0"/>
              <w:rPr>
                <w:sz w:val="10"/>
                <w:szCs w:val="10"/>
                <w:color w:val="auto"/>
              </w:rPr>
            </w:pPr>
          </w:p>
        </w:tc>
        <w:tc>
          <w:tcPr>
            <w:tcW w:w="106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As reported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As previously reported</w:t>
            </w:r>
          </w:p>
        </w:tc>
        <w:tc>
          <w:tcPr>
            <w:tcW w:w="80" w:type="dxa"/>
            <w:vAlign w:val="bottom"/>
          </w:tcPr>
          <w:p>
            <w:pPr>
              <w:spacing w:after="0"/>
              <w:rPr>
                <w:sz w:val="10"/>
                <w:szCs w:val="10"/>
                <w:color w:val="auto"/>
              </w:rPr>
            </w:pP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7"/>
              </w:rPr>
              <w:t>Non-GAAP impact of</w:t>
            </w:r>
          </w:p>
        </w:tc>
        <w:tc>
          <w:tcPr>
            <w:tcW w:w="12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Non-GAAP adjustment for</w:t>
            </w:r>
          </w:p>
        </w:tc>
        <w:tc>
          <w:tcPr>
            <w:tcW w:w="140" w:type="dxa"/>
            <w:vAlign w:val="bottom"/>
          </w:tcPr>
          <w:p>
            <w:pPr>
              <w:spacing w:after="0"/>
              <w:rPr>
                <w:sz w:val="10"/>
                <w:szCs w:val="10"/>
                <w:color w:val="auto"/>
              </w:rPr>
            </w:pPr>
          </w:p>
        </w:tc>
        <w:tc>
          <w:tcPr>
            <w:tcW w:w="110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As reported</w:t>
            </w:r>
          </w:p>
        </w:tc>
        <w:tc>
          <w:tcPr>
            <w:tcW w:w="0" w:type="dxa"/>
            <w:vAlign w:val="bottom"/>
          </w:tcPr>
          <w:p>
            <w:pPr>
              <w:spacing w:after="0"/>
              <w:rPr>
                <w:sz w:val="1"/>
                <w:szCs w:val="1"/>
                <w:color w:val="auto"/>
              </w:rPr>
            </w:pPr>
          </w:p>
        </w:tc>
      </w:tr>
      <w:tr>
        <w:trPr>
          <w:trHeight w:val="55"/>
        </w:trPr>
        <w:tc>
          <w:tcPr>
            <w:tcW w:w="2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restart"/>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GAAP Measure</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Adjusted Measure</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3"/>
              </w:rPr>
              <w:t>GAAP Measure</w:t>
            </w:r>
          </w:p>
        </w:tc>
        <w:tc>
          <w:tcPr>
            <w:tcW w:w="18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0"/>
                <w:szCs w:val="10"/>
                <w:b w:val="1"/>
                <w:bCs w:val="1"/>
                <w:color w:val="auto"/>
                <w:w w:val="92"/>
              </w:rPr>
              <w:t>presentation</w:t>
            </w:r>
            <w:r>
              <w:rPr>
                <w:rFonts w:ascii="Times New Roman" w:cs="Times New Roman" w:eastAsia="Times New Roman" w:hAnsi="Times New Roman"/>
                <w:sz w:val="12"/>
                <w:szCs w:val="12"/>
                <w:b w:val="1"/>
                <w:bCs w:val="1"/>
                <w:color w:val="auto"/>
                <w:w w:val="92"/>
                <w:vertAlign w:val="superscript"/>
              </w:rPr>
              <w:t>(1)</w:t>
            </w:r>
          </w:p>
        </w:tc>
        <w:tc>
          <w:tcPr>
            <w:tcW w:w="1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Non-GAAP Measure</w:t>
            </w:r>
          </w:p>
        </w:tc>
        <w:tc>
          <w:tcPr>
            <w:tcW w:w="80" w:type="dxa"/>
            <w:vAlign w:val="bottom"/>
          </w:tcPr>
          <w:p>
            <w:pPr>
              <w:spacing w:after="0"/>
              <w:rPr>
                <w:sz w:val="11"/>
                <w:szCs w:val="11"/>
                <w:color w:val="auto"/>
              </w:rPr>
            </w:pPr>
          </w:p>
        </w:tc>
        <w:tc>
          <w:tcPr>
            <w:tcW w:w="11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0"/>
                <w:szCs w:val="10"/>
                <w:b w:val="1"/>
                <w:bCs w:val="1"/>
                <w:color w:val="auto"/>
                <w:w w:val="94"/>
              </w:rPr>
              <w:t>change in presentation</w:t>
            </w:r>
            <w:r>
              <w:rPr>
                <w:rFonts w:ascii="Times New Roman" w:cs="Times New Roman" w:eastAsia="Times New Roman" w:hAnsi="Times New Roman"/>
                <w:sz w:val="12"/>
                <w:szCs w:val="12"/>
                <w:b w:val="1"/>
                <w:bCs w:val="1"/>
                <w:color w:val="auto"/>
                <w:w w:val="94"/>
                <w:vertAlign w:val="superscript"/>
              </w:rPr>
              <w:t>(1)</w:t>
            </w:r>
          </w:p>
        </w:tc>
        <w:tc>
          <w:tcPr>
            <w:tcW w:w="100" w:type="dxa"/>
            <w:vAlign w:val="bottom"/>
          </w:tcPr>
          <w:p>
            <w:pPr>
              <w:spacing w:after="0"/>
              <w:rPr>
                <w:sz w:val="11"/>
                <w:szCs w:val="11"/>
                <w:color w:val="auto"/>
              </w:rPr>
            </w:pPr>
          </w:p>
        </w:tc>
        <w:tc>
          <w:tcPr>
            <w:tcW w:w="11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0"/>
                <w:szCs w:val="10"/>
                <w:b w:val="1"/>
                <w:bCs w:val="1"/>
                <w:color w:val="auto"/>
                <w:w w:val="94"/>
              </w:rPr>
              <w:t>non-core lease costs</w:t>
            </w:r>
            <w:r>
              <w:rPr>
                <w:rFonts w:ascii="Times New Roman" w:cs="Times New Roman" w:eastAsia="Times New Roman" w:hAnsi="Times New Roman"/>
                <w:sz w:val="12"/>
                <w:szCs w:val="12"/>
                <w:b w:val="1"/>
                <w:bCs w:val="1"/>
                <w:color w:val="auto"/>
                <w:w w:val="94"/>
                <w:vertAlign w:val="superscript"/>
              </w:rPr>
              <w:t>(2)</w:t>
            </w:r>
          </w:p>
        </w:tc>
        <w:tc>
          <w:tcPr>
            <w:tcW w:w="1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44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Diagnostic test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416,668</w:t>
            </w: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416,668</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416,668</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416,668</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Other revenue</w:t>
            </w:r>
          </w:p>
        </w:tc>
        <w:tc>
          <w:tcPr>
            <w:tcW w:w="1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10,871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10,871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10,871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10,871</w:t>
            </w:r>
          </w:p>
        </w:tc>
        <w:tc>
          <w:tcPr>
            <w:tcW w:w="0" w:type="dxa"/>
            <w:vAlign w:val="bottom"/>
          </w:tcPr>
          <w:p>
            <w:pPr>
              <w:spacing w:after="0"/>
              <w:rPr>
                <w:sz w:val="1"/>
                <w:szCs w:val="1"/>
                <w:color w:val="auto"/>
              </w:rPr>
            </w:pPr>
          </w:p>
        </w:tc>
      </w:tr>
      <w:tr>
        <w:trPr>
          <w:trHeight w:val="130"/>
        </w:trPr>
        <w:tc>
          <w:tcPr>
            <w:tcW w:w="244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Total revenue</w:t>
            </w:r>
          </w:p>
        </w:tc>
        <w:tc>
          <w:tcPr>
            <w:tcW w:w="1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427,539</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427,539</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427,539</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427,539</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Cost of services</w:t>
            </w:r>
          </w:p>
        </w:tc>
        <w:tc>
          <w:tcPr>
            <w:tcW w:w="1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129,366</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129,366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123,201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123,201</w:t>
            </w:r>
          </w:p>
        </w:tc>
        <w:tc>
          <w:tcPr>
            <w:tcW w:w="0" w:type="dxa"/>
            <w:vAlign w:val="bottom"/>
          </w:tcPr>
          <w:p>
            <w:pPr>
              <w:spacing w:after="0"/>
              <w:rPr>
                <w:sz w:val="1"/>
                <w:szCs w:val="1"/>
                <w:color w:val="auto"/>
              </w:rPr>
            </w:pPr>
          </w:p>
        </w:tc>
      </w:tr>
      <w:tr>
        <w:trPr>
          <w:trHeight w:val="130"/>
        </w:trPr>
        <w:tc>
          <w:tcPr>
            <w:tcW w:w="244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Gross profit</w:t>
            </w:r>
          </w:p>
        </w:tc>
        <w:tc>
          <w:tcPr>
            <w:tcW w:w="1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298,173</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298,173</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304,338</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304,338</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Gross margin</w:t>
            </w:r>
          </w:p>
        </w:tc>
        <w:tc>
          <w:tcPr>
            <w:tcW w:w="1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69.7 %</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69.7 %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71.2 %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71.2 %</w:t>
            </w:r>
          </w:p>
        </w:tc>
        <w:tc>
          <w:tcPr>
            <w:tcW w:w="0" w:type="dxa"/>
            <w:vAlign w:val="bottom"/>
          </w:tcPr>
          <w:p>
            <w:pPr>
              <w:spacing w:after="0"/>
              <w:rPr>
                <w:sz w:val="1"/>
                <w:szCs w:val="1"/>
                <w:color w:val="auto"/>
              </w:rPr>
            </w:pPr>
          </w:p>
        </w:tc>
      </w:tr>
      <w:tr>
        <w:trPr>
          <w:trHeight w:val="150"/>
        </w:trPr>
        <w:tc>
          <w:tcPr>
            <w:tcW w:w="2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Research and development</w:t>
            </w:r>
          </w:p>
        </w:tc>
        <w:tc>
          <w:tcPr>
            <w:tcW w:w="1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72,026</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72,026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65,496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65,496</w:t>
            </w:r>
          </w:p>
        </w:tc>
        <w:tc>
          <w:tcPr>
            <w:tcW w:w="0" w:type="dxa"/>
            <w:vAlign w:val="bottom"/>
          </w:tcPr>
          <w:p>
            <w:pPr>
              <w:spacing w:after="0"/>
              <w:rPr>
                <w:sz w:val="1"/>
                <w:szCs w:val="1"/>
                <w:color w:val="auto"/>
              </w:rPr>
            </w:pPr>
          </w:p>
        </w:tc>
      </w:tr>
      <w:tr>
        <w:trPr>
          <w:trHeight w:val="14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and marketing</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88,405</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(88,405)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77,914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(77,914)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1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150,819</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(150,819)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119,631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(119,631)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general and administrative</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239,224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239,224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197,545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(5,391)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192,154</w:t>
            </w:r>
          </w:p>
        </w:tc>
        <w:tc>
          <w:tcPr>
            <w:tcW w:w="0" w:type="dxa"/>
            <w:vAlign w:val="bottom"/>
          </w:tcPr>
          <w:p>
            <w:pPr>
              <w:spacing w:after="0"/>
              <w:rPr>
                <w:sz w:val="1"/>
                <w:szCs w:val="1"/>
                <w:color w:val="auto"/>
              </w:rPr>
            </w:pPr>
          </w:p>
        </w:tc>
      </w:tr>
      <w:tr>
        <w:trPr>
          <w:trHeight w:val="118"/>
        </w:trPr>
        <w:tc>
          <w:tcPr>
            <w:tcW w:w="244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(Loss) income from operations</w:t>
            </w: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(13,077)</w:t>
            </w:r>
          </w:p>
        </w:tc>
        <w:tc>
          <w:tcPr>
            <w:tcW w:w="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(13,077)</w:t>
            </w: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41,297</w:t>
            </w: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5,391</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46,688</w:t>
            </w:r>
          </w:p>
        </w:tc>
        <w:tc>
          <w:tcPr>
            <w:tcW w:w="0" w:type="dxa"/>
            <w:vAlign w:val="bottom"/>
          </w:tcPr>
          <w:p>
            <w:pPr>
              <w:spacing w:after="0"/>
              <w:rPr>
                <w:sz w:val="1"/>
                <w:szCs w:val="1"/>
                <w:color w:val="auto"/>
              </w:rPr>
            </w:pPr>
          </w:p>
        </w:tc>
      </w:tr>
      <w:tr>
        <w:trPr>
          <w:trHeight w:val="150"/>
        </w:trPr>
        <w:tc>
          <w:tcPr>
            <w:tcW w:w="2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Interest expense, net</w:t>
            </w:r>
          </w:p>
        </w:tc>
        <w:tc>
          <w:tcPr>
            <w:tcW w:w="100" w:type="dxa"/>
            <w:vAlign w:val="bottom"/>
          </w:tcPr>
          <w:p>
            <w:pPr>
              <w:spacing w:after="0"/>
              <w:rPr>
                <w:sz w:val="11"/>
                <w:szCs w:val="11"/>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(2,539)</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(2,539)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(expense) income, net</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(5,521)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(5,521)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512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512</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Income tax benefit</w:t>
            </w:r>
          </w:p>
        </w:tc>
        <w:tc>
          <w:tcPr>
            <w:tcW w:w="1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6"/>
        </w:trPr>
        <w:tc>
          <w:tcPr>
            <w:tcW w:w="2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(21,021)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(21,021)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41,809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5,391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47,200</w:t>
            </w:r>
          </w:p>
        </w:tc>
        <w:tc>
          <w:tcPr>
            <w:tcW w:w="0" w:type="dxa"/>
            <w:vAlign w:val="bottom"/>
          </w:tcPr>
          <w:p>
            <w:pPr>
              <w:spacing w:after="0"/>
              <w:rPr>
                <w:sz w:val="1"/>
                <w:szCs w:val="1"/>
                <w:color w:val="auto"/>
              </w:rPr>
            </w:pPr>
          </w:p>
        </w:tc>
      </w:tr>
      <w:tr>
        <w:trPr>
          <w:trHeight w:val="126"/>
        </w:trPr>
        <w:tc>
          <w:tcPr>
            <w:tcW w:w="2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Basic (loss)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(0.73)</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(0.73)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1.65</w:t>
            </w:r>
          </w:p>
        </w:tc>
        <w:tc>
          <w:tcPr>
            <w:tcW w:w="0" w:type="dxa"/>
            <w:vAlign w:val="bottom"/>
          </w:tcPr>
          <w:p>
            <w:pPr>
              <w:spacing w:after="0"/>
              <w:rPr>
                <w:sz w:val="1"/>
                <w:szCs w:val="1"/>
                <w:color w:val="auto"/>
              </w:rPr>
            </w:pPr>
          </w:p>
        </w:tc>
      </w:tr>
      <w:tr>
        <w:trPr>
          <w:trHeight w:val="123"/>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Diluted (loss) earnings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(0.73)</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(0.73)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1.58</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208" w:hanging="208"/>
        <w:spacing w:after="0" w:line="243" w:lineRule="auto"/>
        <w:tabs>
          <w:tab w:leader="none" w:pos="203"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Beginning with the quarter ended March 31, 2026, the Company has combined the previously separate line items for (i) selling and marketing and (ii) general and administrative into a single consolidated line item titled “selling, general and administrative” in the consolidated statements of operations and comprehensive loss. This is a change in presentation only and has no impact on the Company’s previously reported financial results for the current or any prior period.</w:t>
      </w:r>
    </w:p>
    <w:p>
      <w:pPr>
        <w:spacing w:after="0" w:line="100" w:lineRule="exact"/>
        <w:rPr>
          <w:rFonts w:ascii="Times New Roman" w:cs="Times New Roman" w:eastAsia="Times New Roman" w:hAnsi="Times New Roman"/>
          <w:sz w:val="10"/>
          <w:szCs w:val="10"/>
          <w:color w:val="auto"/>
        </w:rPr>
      </w:pPr>
    </w:p>
    <w:p>
      <w:pPr>
        <w:ind w:left="208" w:hanging="208"/>
        <w:spacing w:after="0" w:line="261" w:lineRule="auto"/>
        <w:tabs>
          <w:tab w:leader="none" w:pos="203"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Beginning with the fiscal quarter ended March 31, 2026, the Company has modified its methodology for adjusted net income (loss), a non-GAAP financial measure, to include an adjustment for non-core lease costs. Non-core lease costs represent occupancy and related expenses associated with vacant laboratory facilities and office space in Connecticut that are no longer utilized as part of the Company’s operations.</w:t>
      </w:r>
    </w:p>
    <w:p>
      <w:pPr>
        <w:sectPr>
          <w:pgSz w:w="11900" w:h="16838" w:orient="portrait"/>
          <w:cols w:equalWidth="0" w:num="1">
            <w:col w:w="11308"/>
          </w:cols>
          <w:pgMar w:left="292" w:top="690" w:right="299" w:bottom="1440" w:gutter="0" w:footer="0" w:header="0"/>
        </w:sectPr>
      </w:pPr>
    </w:p>
    <w:bookmarkStart w:id="14" w:name="page15"/>
    <w:bookmarkEnd w:id="14"/>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61"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lvl w:ilvl="1">
      <w:lvlJc w:val="left"/>
      <w:lvlText w:val="◦"/>
      <w:numFmt w:val="bullet"/>
      <w:start w:val="1"/>
    </w:lvl>
  </w:abstractNum>
  <w:abstractNum w:abstractNumId="5">
    <w:nsid w:val="1F16E9E8"/>
    <w:multiLevelType w:val="hybridMultilevel"/>
    <w:lvl w:ilvl="0">
      <w:lvlJc w:val="left"/>
      <w:lvlText w:val="•"/>
      <w:numFmt w:val="bullet"/>
      <w:start w:val="1"/>
    </w:lvl>
    <w:lvl w:ilvl="1">
      <w:lvlJc w:val="left"/>
      <w:lvlText w:val="◦"/>
      <w:numFmt w:val="bullet"/>
      <w:start w:val="1"/>
    </w:lvl>
  </w:abstractNum>
  <w:abstractNum w:abstractNumId="6">
    <w:nsid w:val="1190CDE7"/>
    <w:multiLevelType w:val="hybridMultilevel"/>
    <w:lvl w:ilvl="0">
      <w:lvlJc w:val="left"/>
      <w:lvlText w:val="•"/>
      <w:numFmt w:val="bullet"/>
      <w:start w:val="1"/>
    </w:lvl>
    <w:lvl w:ilvl="1">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2026-05-04T15:19:12Z</dcterms:created>
  <dcterms:modified xsi:type="dcterms:W3CDTF">2026-05-04T15:19:12Z</dcterms:modified>
</cp:coreProperties>
</file>