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CURRENT REPORT</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Pursuant to Section 13 OR 15(d) of The Securities Exchange Act of 1934</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January 12, 2023 (January 12, 2023)</w:t>
      </w:r>
    </w:p>
    <w:p>
      <w:pPr>
        <w:spacing w:after="0" w:line="3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GeneDx Holdings Corp.</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620" w:type="dxa"/>
            <w:vAlign w:val="bottom"/>
          </w:tcPr>
          <w:p>
            <w:pPr>
              <w:jc w:val="right"/>
              <w:ind w:right="980"/>
              <w:spacing w:after="0"/>
              <w:rPr>
                <w:sz w:val="20"/>
                <w:szCs w:val="20"/>
                <w:color w:val="auto"/>
              </w:rPr>
            </w:pPr>
            <w:r>
              <w:rPr>
                <w:rFonts w:ascii="Times New Roman" w:cs="Times New Roman" w:eastAsia="Times New Roman" w:hAnsi="Times New Roman"/>
                <w:sz w:val="12"/>
                <w:szCs w:val="12"/>
                <w:b w:val="1"/>
                <w:bCs w:val="1"/>
                <w:color w:val="auto"/>
              </w:rPr>
              <w:t>001-39482</w:t>
            </w:r>
          </w:p>
        </w:tc>
        <w:tc>
          <w:tcPr>
            <w:tcW w:w="80" w:type="dxa"/>
            <w:vAlign w:val="bottom"/>
          </w:tcPr>
          <w:p>
            <w:pPr>
              <w:spacing w:after="0"/>
              <w:rPr>
                <w:sz w:val="15"/>
                <w:szCs w:val="15"/>
                <w:color w:val="auto"/>
              </w:rPr>
            </w:pPr>
          </w:p>
        </w:tc>
        <w:tc>
          <w:tcPr>
            <w:tcW w:w="4220" w:type="dxa"/>
            <w:vAlign w:val="bottom"/>
          </w:tcPr>
          <w:p>
            <w:pPr>
              <w:jc w:val="right"/>
              <w:ind w:right="1760"/>
              <w:spacing w:after="0"/>
              <w:rPr>
                <w:sz w:val="20"/>
                <w:szCs w:val="20"/>
                <w:color w:val="auto"/>
              </w:rPr>
            </w:pPr>
            <w:r>
              <w:rPr>
                <w:rFonts w:ascii="Times New Roman" w:cs="Times New Roman" w:eastAsia="Times New Roman" w:hAnsi="Times New Roman"/>
                <w:sz w:val="12"/>
                <w:szCs w:val="12"/>
                <w:b w:val="1"/>
                <w:bCs w:val="1"/>
                <w:color w:val="auto"/>
              </w:rPr>
              <w:t>85-1966622</w:t>
            </w:r>
          </w:p>
        </w:tc>
      </w:tr>
      <w:tr>
        <w:trPr>
          <w:trHeight w:val="153"/>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(State or other jurisdiction of incorporation or organization)</w:t>
            </w:r>
          </w:p>
        </w:tc>
        <w:tc>
          <w:tcPr>
            <w:tcW w:w="60" w:type="dxa"/>
            <w:vAlign w:val="bottom"/>
          </w:tcPr>
          <w:p>
            <w:pPr>
              <w:spacing w:after="0"/>
              <w:rPr>
                <w:sz w:val="13"/>
                <w:szCs w:val="13"/>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80" w:type="dxa"/>
            <w:vAlign w:val="bottom"/>
          </w:tcPr>
          <w:p>
            <w:pPr>
              <w:spacing w:after="0"/>
              <w:rPr>
                <w:sz w:val="13"/>
                <w:szCs w:val="13"/>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r>
      <w:tr>
        <w:trPr>
          <w:trHeight w:val="205"/>
        </w:trPr>
        <w:tc>
          <w:tcPr>
            <w:tcW w:w="43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333 Ludlow Street, North Tower, 8th Floor</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spacing w:after="0"/>
              <w:rPr>
                <w:sz w:val="17"/>
                <w:szCs w:val="17"/>
                <w:color w:val="auto"/>
              </w:rPr>
            </w:pPr>
          </w:p>
        </w:tc>
      </w:tr>
    </w:tbl>
    <w:p>
      <w:pPr>
        <w:spacing w:after="0" w:line="12" w:lineRule="exact"/>
        <w:rPr>
          <w:sz w:val="24"/>
          <w:szCs w:val="24"/>
          <w:color w:val="auto"/>
        </w:rPr>
      </w:pPr>
    </w:p>
    <w:p>
      <w:pPr>
        <w:sectPr>
          <w:pgSz w:w="11900" w:h="16838" w:orient="portrait"/>
          <w:cols w:equalWidth="0" w:num="1">
            <w:col w:w="11300"/>
          </w:cols>
          <w:pgMar w:left="300" w:top="918" w:right="299" w:bottom="1440" w:gutter="0" w:footer="0" w:header="0"/>
        </w:sectPr>
      </w:pPr>
    </w:p>
    <w:p>
      <w:pPr>
        <w:spacing w:after="0" w:line="18"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2"/>
          <w:szCs w:val="12"/>
          <w:b w:val="1"/>
          <w:bCs w:val="1"/>
          <w:color w:val="auto"/>
        </w:rPr>
        <w:t>Stamford, Connecticut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27260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spacing w:after="0" w:line="8"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92" w:lineRule="exact"/>
        <w:rPr>
          <w:sz w:val="24"/>
          <w:szCs w:val="24"/>
          <w:color w:val="auto"/>
        </w:rPr>
      </w:pPr>
    </w:p>
    <w:p>
      <w:pPr>
        <w:jc w:val="center"/>
        <w:ind w:left="3120"/>
        <w:spacing w:after="0"/>
        <w:rPr>
          <w:sz w:val="20"/>
          <w:szCs w:val="20"/>
          <w:color w:val="auto"/>
        </w:rPr>
      </w:pPr>
      <w:r>
        <w:rPr>
          <w:rFonts w:ascii="Times New Roman" w:cs="Times New Roman" w:eastAsia="Times New Roman" w:hAnsi="Times New Roman"/>
          <w:sz w:val="12"/>
          <w:szCs w:val="12"/>
          <w:b w:val="1"/>
          <w:bCs w:val="1"/>
          <w:color w:val="auto"/>
        </w:rPr>
        <w:t>(800) 298-6470</w:t>
      </w:r>
    </w:p>
    <w:p>
      <w:pPr>
        <w:spacing w:after="0" w:line="21" w:lineRule="exact"/>
        <w:rPr>
          <w:sz w:val="24"/>
          <w:szCs w:val="24"/>
          <w:color w:val="auto"/>
        </w:rPr>
      </w:pPr>
    </w:p>
    <w:p>
      <w:pPr>
        <w:jc w:val="center"/>
        <w:ind w:left="31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7" w:lineRule="exact"/>
        <w:rPr>
          <w:sz w:val="24"/>
          <w:szCs w:val="24"/>
          <w:color w:val="auto"/>
        </w:rPr>
      </w:pPr>
    </w:p>
    <w:p>
      <w:pPr>
        <w:jc w:val="right"/>
        <w:ind w:right="1040"/>
        <w:spacing w:after="0"/>
        <w:rPr>
          <w:sz w:val="20"/>
          <w:szCs w:val="20"/>
          <w:color w:val="auto"/>
        </w:rPr>
      </w:pPr>
      <w:r>
        <w:rPr>
          <w:rFonts w:ascii="Times New Roman" w:cs="Times New Roman" w:eastAsia="Times New Roman" w:hAnsi="Times New Roman"/>
          <w:sz w:val="12"/>
          <w:szCs w:val="12"/>
          <w:color w:val="231F20"/>
        </w:rPr>
        <w:t>(Former name or former address, if changed since last report.)</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Times New Roman" w:cs="Times New Roman" w:eastAsia="Times New Roman" w:hAnsi="Times New Roman"/>
          <w:sz w:val="12"/>
          <w:szCs w:val="12"/>
          <w:b w:val="1"/>
          <w:bCs w:val="1"/>
          <w:color w:val="auto"/>
        </w:rPr>
        <w:t>06902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-1169670</wp:posOffset>
            </wp:positionH>
            <wp:positionV relativeFrom="paragraph">
              <wp:posOffset>24765</wp:posOffset>
            </wp:positionV>
            <wp:extent cx="26860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86050" cy="5715"/>
                    </a:xfrm>
                    <a:prstGeom prst="rect">
                      <a:avLst/>
                    </a:prstGeom>
                    <a:noFill/>
                  </pic:spPr>
                </pic:pic>
              </a:graphicData>
            </a:graphic>
          </wp:anchor>
        </w:drawing>
      </w:r>
    </w:p>
    <w:p>
      <w:pPr>
        <w:spacing w:after="0" w:line="26"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2"/>
          <w:szCs w:val="12"/>
          <w:color w:val="auto"/>
        </w:rPr>
        <w:t>(Zip Code)</w:t>
      </w:r>
    </w:p>
    <w:p>
      <w:pPr>
        <w:spacing w:after="0" w:line="689" w:lineRule="exact"/>
        <w:rPr>
          <w:sz w:val="24"/>
          <w:szCs w:val="24"/>
          <w:color w:val="auto"/>
        </w:rPr>
      </w:pPr>
    </w:p>
    <w:p>
      <w:pPr>
        <w:sectPr>
          <w:pgSz w:w="11900" w:h="16838" w:orient="portrait"/>
          <w:cols w:equalWidth="0" w:num="2">
            <w:col w:w="8180" w:space="720"/>
            <w:col w:w="2400"/>
          </w:cols>
          <w:pgMar w:left="300" w:top="918"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95"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177"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186"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c>
          <w:tcPr>
            <w:tcW w:w="0" w:type="dxa"/>
            <w:vAlign w:val="bottom"/>
          </w:tcPr>
          <w:p>
            <w:pPr>
              <w:spacing w:after="0"/>
              <w:rPr>
                <w:sz w:val="1"/>
                <w:szCs w:val="1"/>
                <w:color w:val="auto"/>
              </w:rPr>
            </w:pPr>
          </w:p>
        </w:tc>
      </w:tr>
      <w:tr>
        <w:trPr>
          <w:trHeight w:val="142"/>
        </w:trPr>
        <w:tc>
          <w:tcPr>
            <w:tcW w:w="4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Class A common stock, par value $0.0001 per share</w:t>
            </w:r>
          </w:p>
        </w:tc>
        <w:tc>
          <w:tcPr>
            <w:tcW w:w="80" w:type="dxa"/>
            <w:vAlign w:val="bottom"/>
            <w:tcBorders>
              <w:top w:val="single" w:sz="8" w:color="CCEEFF"/>
            </w:tcBorders>
            <w:shd w:val="clear" w:color="auto" w:fill="CCEEFF"/>
          </w:tcPr>
          <w:p>
            <w:pPr>
              <w:spacing w:after="0"/>
              <w:rPr>
                <w:sz w:val="12"/>
                <w:szCs w:val="12"/>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WGS</w:t>
            </w:r>
          </w:p>
        </w:tc>
        <w:tc>
          <w:tcPr>
            <w:tcW w:w="60" w:type="dxa"/>
            <w:vAlign w:val="bottom"/>
            <w:tcBorders>
              <w:top w:val="single" w:sz="8" w:color="CCEEFF"/>
            </w:tcBorders>
            <w:shd w:val="clear" w:color="auto" w:fill="CCEEFF"/>
          </w:tcPr>
          <w:p>
            <w:pPr>
              <w:spacing w:after="0"/>
              <w:rPr>
                <w:sz w:val="12"/>
                <w:szCs w:val="12"/>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The Nasdaq Global Select Market</w:t>
            </w:r>
          </w:p>
        </w:tc>
        <w:tc>
          <w:tcPr>
            <w:tcW w:w="0" w:type="dxa"/>
            <w:vAlign w:val="bottom"/>
          </w:tcPr>
          <w:p>
            <w:pPr>
              <w:spacing w:after="0"/>
              <w:rPr>
                <w:sz w:val="1"/>
                <w:szCs w:val="1"/>
                <w:color w:val="auto"/>
              </w:rPr>
            </w:pPr>
          </w:p>
        </w:tc>
      </w:tr>
      <w:tr>
        <w:trPr>
          <w:trHeight w:val="117"/>
        </w:trPr>
        <w:tc>
          <w:tcPr>
            <w:tcW w:w="49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color w:val="auto"/>
                <w:w w:val="99"/>
              </w:rPr>
              <w:t>Warrants to purchase one share of Class A common stock, each at an exercise price of $11.50 per</w:t>
            </w:r>
          </w:p>
        </w:tc>
        <w:tc>
          <w:tcPr>
            <w:tcW w:w="2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rPr>
              <w:t>WGSWW</w:t>
            </w:r>
          </w:p>
        </w:tc>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The Nasdaq Global Select Market</w:t>
            </w:r>
          </w:p>
        </w:tc>
        <w:tc>
          <w:tcPr>
            <w:tcW w:w="0" w:type="dxa"/>
            <w:vAlign w:val="bottom"/>
          </w:tcPr>
          <w:p>
            <w:pPr>
              <w:spacing w:after="0"/>
              <w:rPr>
                <w:sz w:val="1"/>
                <w:szCs w:val="1"/>
                <w:color w:val="auto"/>
              </w:rPr>
            </w:pPr>
          </w:p>
        </w:tc>
      </w:tr>
      <w:tr>
        <w:trPr>
          <w:trHeight w:val="99"/>
        </w:trPr>
        <w:tc>
          <w:tcPr>
            <w:tcW w:w="4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color w:val="auto"/>
              </w:rPr>
              <w:t>share</w:t>
            </w:r>
          </w:p>
        </w:tc>
        <w:tc>
          <w:tcPr>
            <w:tcW w:w="2060" w:type="dxa"/>
            <w:vAlign w:val="bottom"/>
            <w:gridSpan w:val="2"/>
            <w:vMerge w:val="continue"/>
          </w:tcPr>
          <w:p>
            <w:pPr>
              <w:spacing w:after="0"/>
              <w:rPr>
                <w:sz w:val="8"/>
                <w:szCs w:val="8"/>
                <w:color w:val="auto"/>
              </w:rPr>
            </w:pPr>
          </w:p>
        </w:tc>
        <w:tc>
          <w:tcPr>
            <w:tcW w:w="4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4900" w:type="dxa"/>
            <w:vAlign w:val="bottom"/>
            <w:gridSpan w:val="2"/>
            <w:vMerge w:val="continue"/>
          </w:tcPr>
          <w:p>
            <w:pPr>
              <w:spacing w:after="0"/>
              <w:rPr>
                <w:sz w:val="4"/>
                <w:szCs w:val="4"/>
                <w:color w:val="auto"/>
              </w:rPr>
            </w:pPr>
          </w:p>
        </w:tc>
        <w:tc>
          <w:tcPr>
            <w:tcW w:w="2000" w:type="dxa"/>
            <w:vAlign w:val="bottom"/>
          </w:tcPr>
          <w:p>
            <w:pPr>
              <w:spacing w:after="0"/>
              <w:rPr>
                <w:sz w:val="4"/>
                <w:szCs w:val="4"/>
                <w:color w:val="auto"/>
              </w:rPr>
            </w:pPr>
          </w:p>
        </w:tc>
        <w:tc>
          <w:tcPr>
            <w:tcW w:w="60" w:type="dxa"/>
            <w:vAlign w:val="bottom"/>
          </w:tcPr>
          <w:p>
            <w:pPr>
              <w:spacing w:after="0"/>
              <w:rPr>
                <w:sz w:val="4"/>
                <w:szCs w:val="4"/>
                <w:color w:val="auto"/>
              </w:rPr>
            </w:pPr>
          </w:p>
        </w:tc>
        <w:tc>
          <w:tcPr>
            <w:tcW w:w="43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98" w:lineRule="exact"/>
        <w:rPr>
          <w:sz w:val="24"/>
          <w:szCs w:val="24"/>
          <w:color w:val="auto"/>
        </w:rPr>
      </w:pPr>
    </w:p>
    <w:p>
      <w:pPr>
        <w:ind w:right="100"/>
        <w:spacing w:after="0" w:line="156" w:lineRule="exact"/>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454025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8"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On January 12, 2023, GeneDx Holdings Corp. (the "Company") is </w:t>
      </w:r>
      <w:r>
        <w:rPr>
          <w:rFonts w:ascii="Times New Roman" w:cs="Times New Roman" w:eastAsia="Times New Roman" w:hAnsi="Times New Roman"/>
          <w:sz w:val="14"/>
          <w:szCs w:val="14"/>
          <w:color w:val="auto"/>
        </w:rPr>
        <w:t>furnishing as</w:t>
      </w:r>
      <w:r>
        <w:rPr>
          <w:rFonts w:ascii="Times New Roman" w:cs="Times New Roman" w:eastAsia="Times New Roman" w:hAnsi="Times New Roman"/>
          <w:sz w:val="13"/>
          <w:szCs w:val="13"/>
          <w:color w:val="auto"/>
        </w:rPr>
        <w:t xml:space="preserve"> Exhibit 99.1 hereto a copy of the investor presentation to be used at </w:t>
      </w:r>
      <w:r>
        <w:rPr>
          <w:rFonts w:ascii="Times New Roman" w:cs="Times New Roman" w:eastAsia="Times New Roman" w:hAnsi="Times New Roman"/>
          <w:sz w:val="14"/>
          <w:szCs w:val="14"/>
          <w:color w:val="auto"/>
        </w:rPr>
        <w:t>the 41st Annual J.P. Morgan Healthcare Conference event.</w:t>
      </w:r>
    </w:p>
    <w:p>
      <w:pPr>
        <w:spacing w:after="0" w:line="16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3"/>
          <w:szCs w:val="13"/>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 Exhibits</w:t>
            </w:r>
          </w:p>
        </w:tc>
        <w:tc>
          <w:tcPr>
            <w:tcW w:w="2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700" w:type="dxa"/>
            <w:vAlign w:val="bottom"/>
          </w:tcPr>
          <w:p>
            <w:pPr>
              <w:spacing w:after="0"/>
              <w:rPr>
                <w:sz w:val="15"/>
                <w:szCs w:val="15"/>
                <w:color w:val="auto"/>
              </w:rPr>
            </w:pPr>
          </w:p>
        </w:tc>
      </w:tr>
      <w:tr>
        <w:trPr>
          <w:trHeight w:val="311"/>
        </w:trPr>
        <w:tc>
          <w:tcPr>
            <w:tcW w:w="10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2400" w:type="dxa"/>
            <w:vAlign w:val="bottom"/>
          </w:tcPr>
          <w:p>
            <w:pPr>
              <w:spacing w:after="0"/>
              <w:rPr>
                <w:sz w:val="24"/>
                <w:szCs w:val="24"/>
                <w:color w:val="auto"/>
              </w:rPr>
            </w:pPr>
          </w:p>
        </w:tc>
        <w:tc>
          <w:tcPr>
            <w:tcW w:w="7640" w:type="dxa"/>
            <w:vAlign w:val="bottom"/>
            <w:gridSpan w:val="3"/>
          </w:tcPr>
          <w:p>
            <w:pPr>
              <w:ind w:left="228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r>
      <w:tr>
        <w:trPr>
          <w:trHeight w:val="129"/>
        </w:trPr>
        <w:tc>
          <w:tcPr>
            <w:tcW w:w="78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99.1</w:t>
            </w:r>
          </w:p>
        </w:tc>
        <w:tc>
          <w:tcPr>
            <w:tcW w:w="300" w:type="dxa"/>
            <w:vAlign w:val="bottom"/>
          </w:tcPr>
          <w:p>
            <w:pPr>
              <w:spacing w:after="0"/>
              <w:rPr>
                <w:sz w:val="11"/>
                <w:szCs w:val="11"/>
                <w:color w:val="auto"/>
              </w:rPr>
            </w:pPr>
          </w:p>
        </w:tc>
        <w:tc>
          <w:tcPr>
            <w:tcW w:w="10040" w:type="dxa"/>
            <w:vAlign w:val="bottom"/>
            <w:gridSpan w:val="4"/>
          </w:tcPr>
          <w:p>
            <w:pPr>
              <w:spacing w:after="0" w:line="129" w:lineRule="exact"/>
              <w:rPr>
                <w:sz w:val="20"/>
                <w:szCs w:val="20"/>
                <w:color w:val="auto"/>
              </w:rPr>
            </w:pPr>
            <w:r>
              <w:rPr>
                <w:rFonts w:ascii="Times New Roman" w:cs="Times New Roman" w:eastAsia="Times New Roman" w:hAnsi="Times New Roman"/>
                <w:sz w:val="13"/>
                <w:szCs w:val="13"/>
                <w:color w:val="0000FF"/>
              </w:rPr>
              <w:t>Investor Presentation, dated January 12, 2023</w:t>
            </w:r>
          </w:p>
        </w:tc>
      </w:tr>
      <w:tr>
        <w:trPr>
          <w:trHeight w:val="20"/>
        </w:trPr>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r>
      <w:tr>
        <w:trPr>
          <w:trHeight w:val="191"/>
        </w:trPr>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tcPr>
          <w:p>
            <w:pPr>
              <w:spacing w:after="0"/>
              <w:rPr>
                <w:sz w:val="16"/>
                <w:szCs w:val="16"/>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371475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5"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7220" w:type="dxa"/>
            <w:vAlign w:val="bottom"/>
            <w:gridSpan w:val="2"/>
          </w:tcPr>
          <w:p>
            <w:pPr>
              <w:ind w:left="1600"/>
              <w:spacing w:after="0"/>
              <w:rPr>
                <w:sz w:val="20"/>
                <w:szCs w:val="20"/>
                <w:color w:val="auto"/>
              </w:rPr>
            </w:pPr>
            <w:r>
              <w:rPr>
                <w:rFonts w:ascii="Times New Roman" w:cs="Times New Roman" w:eastAsia="Times New Roman" w:hAnsi="Times New Roman"/>
                <w:sz w:val="13"/>
                <w:szCs w:val="13"/>
                <w:b w:val="1"/>
                <w:bCs w:val="1"/>
                <w:color w:val="auto"/>
              </w:rPr>
              <w:t>GeneDx Holdings Corp.</w:t>
            </w:r>
          </w:p>
        </w:tc>
      </w:tr>
      <w:tr>
        <w:trPr>
          <w:trHeight w:val="414"/>
        </w:trPr>
        <w:tc>
          <w:tcPr>
            <w:tcW w:w="600" w:type="dxa"/>
            <w:vAlign w:val="bottom"/>
          </w:tcPr>
          <w:p>
            <w:pPr>
              <w:spacing w:after="0"/>
              <w:rPr>
                <w:sz w:val="20"/>
                <w:szCs w:val="20"/>
                <w:color w:val="auto"/>
              </w:rPr>
            </w:pPr>
            <w:r>
              <w:rPr>
                <w:rFonts w:ascii="Times New Roman" w:cs="Times New Roman" w:eastAsia="Times New Roman" w:hAnsi="Times New Roman"/>
                <w:sz w:val="13"/>
                <w:szCs w:val="13"/>
                <w:color w:val="auto"/>
              </w:rPr>
              <w:t>Date:</w:t>
            </w:r>
          </w:p>
        </w:tc>
        <w:tc>
          <w:tcPr>
            <w:tcW w:w="28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January 12, 2023</w:t>
            </w:r>
          </w:p>
        </w:tc>
        <w:tc>
          <w:tcPr>
            <w:tcW w:w="25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Katherine Stueland</w:t>
            </w:r>
          </w:p>
        </w:tc>
      </w:tr>
      <w:tr>
        <w:trPr>
          <w:trHeight w:val="159"/>
        </w:trPr>
        <w:tc>
          <w:tcPr>
            <w:tcW w:w="6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5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Name:</w:t>
            </w:r>
          </w:p>
        </w:tc>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Katherine Stueland</w:t>
            </w:r>
          </w:p>
        </w:tc>
      </w:tr>
      <w:tr>
        <w:trPr>
          <w:trHeight w:val="172"/>
        </w:trPr>
        <w:tc>
          <w:tcPr>
            <w:tcW w:w="6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52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Title:</w:t>
            </w:r>
          </w:p>
        </w:tc>
        <w:tc>
          <w:tcPr>
            <w:tcW w:w="4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w:t>
            </w:r>
          </w:p>
        </w:tc>
      </w:tr>
    </w:tbl>
    <w:p>
      <w:pPr>
        <w:sectPr>
          <w:pgSz w:w="11900" w:h="16838" w:orient="portrait"/>
          <w:cols w:equalWidth="0" w:num="1">
            <w:col w:w="10640"/>
          </w:cols>
          <w:pgMar w:left="500" w:top="656" w:right="75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2023-01-12T15:23:15Z</dcterms:created>
  <dcterms:modified xsi:type="dcterms:W3CDTF">2023-01-12T15:23:15Z</dcterms:modified>
</cp:coreProperties>
</file>