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CURRENT REPORT</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Pursuant to Section 13 OR 15(d) of The Securities Exchange Act of 1934</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15, 2026</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001-39482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276860</wp:posOffset>
            </wp:positionV>
            <wp:extent cx="1645920" cy="377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45920" cy="3771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GeneDx Holdings Corp.</w:t>
      </w:r>
    </w:p>
    <w:p>
      <w:pPr>
        <w:spacing w:after="0" w:line="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20"/>
          </w:cols>
          <w:pgMar w:left="320" w:top="1262" w:right="359" w:bottom="1440" w:gutter="0" w:footer="0" w:header="0"/>
        </w:sectPr>
      </w:pPr>
    </w:p>
    <w:p>
      <w:pPr>
        <w:spacing w:after="0" w:line="140" w:lineRule="exact"/>
        <w:rPr>
          <w:sz w:val="24"/>
          <w:szCs w:val="24"/>
          <w:color w:val="auto"/>
        </w:rPr>
      </w:pPr>
    </w:p>
    <w:p>
      <w:pPr>
        <w:ind w:left="246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85-1966622</w:t>
      </w:r>
    </w:p>
    <w:p>
      <w:pPr>
        <w:spacing w:after="0" w:line="54" w:lineRule="exact"/>
        <w:rPr>
          <w:sz w:val="24"/>
          <w:szCs w:val="24"/>
          <w:color w:val="auto"/>
        </w:rPr>
      </w:pPr>
    </w:p>
    <w:p>
      <w:pPr>
        <w:sectPr>
          <w:pgSz w:w="11900" w:h="16838" w:orient="portrait"/>
          <w:cols w:equalWidth="0" w:num="2">
            <w:col w:w="7260" w:space="720"/>
            <w:col w:w="3240"/>
          </w:cols>
          <w:pgMar w:left="320" w:top="1262" w:right="359" w:bottom="1440" w:gutter="0" w:footer="0" w:header="0"/>
          <w:type w:val="continuous"/>
        </w:sectPr>
      </w:pPr>
    </w:p>
    <w:p>
      <w:pPr>
        <w:ind w:left="68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111" w:lineRule="exact"/>
        <w:rPr>
          <w:sz w:val="24"/>
          <w:szCs w:val="24"/>
          <w:color w:val="auto"/>
        </w:rPr>
      </w:pPr>
    </w:p>
    <w:p>
      <w:pPr>
        <w:sectPr>
          <w:pgSz w:w="11900" w:h="16838" w:orient="portrait"/>
          <w:cols w:equalWidth="0" w:num="2">
            <w:col w:w="6400" w:space="720"/>
            <w:col w:w="4100"/>
          </w:cols>
          <w:pgMar w:left="320" w:top="1262" w:right="359" w:bottom="1440" w:gutter="0" w:footer="0" w:header="0"/>
          <w:type w:val="continuous"/>
        </w:sect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333 Ludlow Street, North Tower; 6th Floor</w:t>
      </w:r>
    </w:p>
    <w:p>
      <w:pPr>
        <w:spacing w:after="0" w:line="2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Stamford, Connecticut 06902</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1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(888) 729-1206</w:t>
      </w:r>
    </w:p>
    <w:p>
      <w:pPr>
        <w:spacing w:after="0" w:line="337" w:lineRule="exact"/>
        <w:rPr>
          <w:sz w:val="24"/>
          <w:szCs w:val="24"/>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08" w:lineRule="exact"/>
        <w:rPr>
          <w:sz w:val="24"/>
          <w:szCs w:val="24"/>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13e-4(c) under the Exchange Act (17 CFR 240.13e-4(c))</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40" w:type="dxa"/>
            <w:vAlign w:val="bottom"/>
          </w:tcPr>
          <w:p>
            <w:pPr>
              <w:spacing w:after="0"/>
              <w:rPr>
                <w:sz w:val="20"/>
                <w:szCs w:val="20"/>
                <w:color w:val="auto"/>
              </w:rPr>
            </w:pPr>
          </w:p>
        </w:tc>
      </w:tr>
      <w:tr>
        <w:trPr>
          <w:trHeight w:val="310"/>
        </w:trPr>
        <w:tc>
          <w:tcPr>
            <w:tcW w:w="40" w:type="dxa"/>
            <w:vAlign w:val="bottom"/>
          </w:tcPr>
          <w:p>
            <w:pPr>
              <w:spacing w:after="0"/>
              <w:rPr>
                <w:sz w:val="24"/>
                <w:szCs w:val="24"/>
                <w:color w:val="auto"/>
              </w:rPr>
            </w:pPr>
          </w:p>
        </w:tc>
        <w:tc>
          <w:tcPr>
            <w:tcW w:w="548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8"/>
        </w:trPr>
        <w:tc>
          <w:tcPr>
            <w:tcW w:w="40" w:type="dxa"/>
            <w:vAlign w:val="bottom"/>
          </w:tcPr>
          <w:p>
            <w:pPr>
              <w:spacing w:after="0"/>
              <w:rPr>
                <w:sz w:val="18"/>
                <w:szCs w:val="18"/>
                <w:color w:val="auto"/>
              </w:rPr>
            </w:pPr>
          </w:p>
        </w:tc>
        <w:tc>
          <w:tcPr>
            <w:tcW w:w="54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Class A common stock, par value $0.0001 per share</w:t>
            </w:r>
          </w:p>
        </w:tc>
        <w:tc>
          <w:tcPr>
            <w:tcW w:w="80" w:type="dxa"/>
            <w:vAlign w:val="bottom"/>
          </w:tcPr>
          <w:p>
            <w:pPr>
              <w:spacing w:after="0"/>
              <w:rPr>
                <w:sz w:val="18"/>
                <w:szCs w:val="18"/>
                <w:color w:val="auto"/>
              </w:rPr>
            </w:pPr>
          </w:p>
        </w:tc>
        <w:tc>
          <w:tcPr>
            <w:tcW w:w="1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WGS</w:t>
            </w:r>
          </w:p>
        </w:tc>
        <w:tc>
          <w:tcPr>
            <w:tcW w:w="80" w:type="dxa"/>
            <w:vAlign w:val="bottom"/>
          </w:tcPr>
          <w:p>
            <w:pPr>
              <w:spacing w:after="0"/>
              <w:rPr>
                <w:sz w:val="18"/>
                <w:szCs w:val="18"/>
                <w:color w:val="auto"/>
              </w:rPr>
            </w:pPr>
          </w:p>
        </w:tc>
        <w:tc>
          <w:tcPr>
            <w:tcW w:w="4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180"/>
        </w:trPr>
        <w:tc>
          <w:tcPr>
            <w:tcW w:w="40" w:type="dxa"/>
            <w:vAlign w:val="bottom"/>
          </w:tcPr>
          <w:p>
            <w:pPr>
              <w:spacing w:after="0"/>
              <w:rPr>
                <w:sz w:val="15"/>
                <w:szCs w:val="15"/>
                <w:color w:val="auto"/>
              </w:rPr>
            </w:pPr>
          </w:p>
        </w:tc>
        <w:tc>
          <w:tcPr>
            <w:tcW w:w="548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Warrants to purchase one share of Class A common stock, each at an</w:t>
            </w:r>
          </w:p>
        </w:tc>
        <w:tc>
          <w:tcPr>
            <w:tcW w:w="1660" w:type="dxa"/>
            <w:vAlign w:val="bottom"/>
            <w:gridSpan w:val="2"/>
          </w:tcPr>
          <w:p>
            <w:pPr>
              <w:jc w:val="center"/>
              <w:ind w:right="120"/>
              <w:spacing w:after="0" w:line="181" w:lineRule="exact"/>
              <w:rPr>
                <w:sz w:val="20"/>
                <w:szCs w:val="20"/>
                <w:color w:val="auto"/>
              </w:rPr>
            </w:pPr>
            <w:r>
              <w:rPr>
                <w:rFonts w:ascii="Times New Roman" w:cs="Times New Roman" w:eastAsia="Times New Roman" w:hAnsi="Times New Roman"/>
                <w:sz w:val="18"/>
                <w:szCs w:val="18"/>
                <w:color w:val="auto"/>
                <w:w w:val="99"/>
              </w:rPr>
              <w:t>WGSWW</w:t>
            </w:r>
          </w:p>
        </w:tc>
        <w:tc>
          <w:tcPr>
            <w:tcW w:w="404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0" w:type="dxa"/>
            <w:vAlign w:val="bottom"/>
          </w:tcPr>
          <w:p>
            <w:pPr>
              <w:spacing w:after="0"/>
              <w:rPr>
                <w:sz w:val="20"/>
                <w:szCs w:val="20"/>
                <w:color w:val="auto"/>
              </w:rPr>
            </w:pPr>
          </w:p>
        </w:tc>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price of $379.50 per share</w:t>
            </w: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40" w:type="dxa"/>
            <w:vAlign w:val="bottom"/>
          </w:tcPr>
          <w:p>
            <w:pPr>
              <w:spacing w:after="0"/>
              <w:rPr>
                <w:sz w:val="20"/>
                <w:szCs w:val="20"/>
                <w:color w:val="auto"/>
              </w:rPr>
            </w:pPr>
          </w:p>
        </w:tc>
      </w:tr>
    </w:tbl>
    <w:p>
      <w:pPr>
        <w:spacing w:after="0" w:line="247"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231F20"/>
        </w:rPr>
        <w:t xml:space="preserve">Emerging growth company </w:t>
      </w:r>
      <w:r>
        <w:rPr>
          <w:rFonts w:ascii="MS PGothic" w:cs="MS PGothic" w:eastAsia="MS PGothic" w:hAnsi="MS PGothic"/>
          <w:sz w:val="18"/>
          <w:szCs w:val="18"/>
          <w:color w:val="000000"/>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810260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2" w:right="359" w:bottom="1440" w:gutter="0" w:footer="0" w:header="0"/>
          <w:type w:val="continuous"/>
        </w:sectPr>
      </w:pPr>
    </w:p>
    <w:bookmarkStart w:id="1" w:name="page2"/>
    <w:bookmarkEnd w:id="1"/>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0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June 16, 2026, GeneDx Holdings Corp. (the “Company”) announced the appointment of Mark Gardner, age 60, in the role of President, which was effective on June 15, 2026. As President, Mr. Gardner will oversee the Company’s lab and commercial operations. Mr. Gardner will report to Katherine Stueland, Chief Executive Officer of the Company, and will serve on the Company’s executive leadership team.</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Prior to joining the Company, Mr. Gardner served as Senior Vice President of Molecular Genomics and Oncology at Quest Diagnostics Incorporated, from September 2022 to June 2026. Mr. Gardner also held executive leadership roles at prominent diagnostic and life sciences companies, including at Corza Medical Inc., where he was Executive Partner, Senior Vice President and General Manager of European Commercial Operations and Biosurgery Products from June 2019 to October 2022, at OmniSeq Corporation, where he was Chief Executive Officer, and at Thermo Fisher Scientific Inc., where he held Vice President and General Manager positions. Mr. Gardner holds a B.S. in History from the United States Naval Academy, an M.A. in National Security Studies from Georgetown University, and an M.B.A. from The Wharton School of the University of Pennsylvania.</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appointment, GeneDx, LLC, a Delaware limited liability company and a wholly-owned subsidiary of the Company, and Mr. Gardner entered into an employment agreement providing for (i) a total annual base salary of $530,000, (ii) a target annual bonus of 65% of Mr. Gardner’s total annual base salary, and (iii) a grant to be made by the Company of restricted stock units with an aggregate grant-date value of $2,000,000, which will vest in equal annual installments over a four-year period, subject to Mr. Gardner’s continued service with the Company on each applicable vesting date. The employment agreement provides for an initial term of three years and automatically renews for successive one-year terms unless earlier terminated.</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his employment agreement, if Mr. Gardner is terminated without “cause” or resigns for “good reason” (as such terms are defined in his employment agreement) or the Company fails to renew the term other than in connection with a change in control, he will be entitled to receive 9 months of base salary continuation and 12 months of continued coverage under the Company’s group health benefit plans, subject to his execution of a release of claims. If instead such termination occurs within the 12-month period following a change in control, he will be entitled to receive 12 months of base salary continuation, a lump sum payment equal to one times his target annual bonus, 12 months of continued coverage under the Company’s group health benefit plans, and accelerated vesting of his outstanding equity-based compensation awards, subject to his execution of a release of claims.</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Mr. Gardner’s employment agreement does not purport to be complete and is qualified in its entirety by reference to the full text of such employment agreement, a copy of which will be filed in the Company’s Form 10-Q for the quarter ended June 30, 2026.</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Mr. Gardner also entered into the Company’s standard indemnification agreement, a form of which was previously filed with the Securities and Exchange Commission as Exhibit 10.4 to the Company’s Form 8-K (File No. 001-39482) on July 28, 2021.</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Gardner has no family relationships that require disclosure pursuant to Item 401(d) of Regulation S-K and has not been involved in any transactions that require disclosure pursuant to Item 404(a) of Regulation S-K. There is no arrangement or understanding between Mr. Gardner and any other person pursuant to which Mr. Gardner was named President of the Company.</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Following Mr. Gardner’s appointment, Bryan Dechairo will transition into a role focused on leading the Company’s product, technology and innovation initiatives.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16, 2026, the Company issued a press release announcing Mr. Gardner’s appointment as President, a copy of which is attached hereto as Exhibit 99.1 and is incorporated by reference into this Item 7.01. The information in this Item 7.01 and Exhibit 99.1 attached hereto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except as expressly set forth by specific reference in such a filing.</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5" w:lineRule="exact"/>
        <w:rPr>
          <w:sz w:val="20"/>
          <w:szCs w:val="20"/>
          <w:color w:val="auto"/>
        </w:rPr>
      </w:pPr>
    </w:p>
    <w:p>
      <w:pPr>
        <w:ind w:left="160"/>
        <w:spacing w:after="0"/>
        <w:tabs>
          <w:tab w:leader="none" w:pos="1140" w:val="left"/>
        </w:tabs>
        <w:rPr>
          <w:sz w:val="20"/>
          <w:szCs w:val="20"/>
          <w:color w:val="auto"/>
        </w:rPr>
      </w:pPr>
      <w:r>
        <w:rPr>
          <w:rFonts w:ascii="Times New Roman" w:cs="Times New Roman" w:eastAsia="Times New Roman" w:hAnsi="Times New Roman"/>
          <w:sz w:val="18"/>
          <w:szCs w:val="18"/>
          <w:b w:val="1"/>
          <w:bCs w:val="1"/>
          <w:u w:val="single" w:color="auto"/>
          <w:color w:val="auto"/>
        </w:rPr>
        <w:t>Exhibit No</w:t>
      </w:r>
      <w:r>
        <w:rPr>
          <w:sz w:val="20"/>
          <w:szCs w:val="20"/>
          <w:color w:val="auto"/>
        </w:rPr>
        <w:tab/>
      </w:r>
      <w:r>
        <w:rPr>
          <w:rFonts w:ascii="Times New Roman" w:cs="Times New Roman" w:eastAsia="Times New Roman" w:hAnsi="Times New Roman"/>
          <w:sz w:val="17"/>
          <w:szCs w:val="17"/>
          <w:b w:val="1"/>
          <w:bCs w:val="1"/>
          <w:u w:val="single" w:color="auto"/>
          <w:color w:val="auto"/>
        </w:rPr>
        <w:t>Description</w:t>
      </w:r>
    </w:p>
    <w:p>
      <w:pPr>
        <w:spacing w:after="0" w:line="135" w:lineRule="exact"/>
        <w:rPr>
          <w:sz w:val="20"/>
          <w:szCs w:val="20"/>
          <w:color w:val="auto"/>
        </w:rPr>
      </w:pPr>
    </w:p>
    <w:p>
      <w:pPr>
        <w:ind w:left="420"/>
        <w:spacing w:after="0"/>
        <w:tabs>
          <w:tab w:leader="none" w:pos="1140" w:val="left"/>
        </w:tabs>
        <w:rPr>
          <w:sz w:val="20"/>
          <w:szCs w:val="20"/>
          <w:color w:val="auto"/>
        </w:rPr>
      </w:pPr>
      <w:r>
        <w:rPr>
          <w:rFonts w:ascii="Times New Roman" w:cs="Times New Roman" w:eastAsia="Times New Roman" w:hAnsi="Times New Roman"/>
          <w:sz w:val="35"/>
          <w:szCs w:val="35"/>
          <w:color w:val="000000"/>
          <w:vertAlign w:val="superscript"/>
        </w:rPr>
        <w:t>99.1</w:t>
      </w:r>
      <w:r>
        <w:rPr>
          <w:sz w:val="20"/>
          <w:szCs w:val="20"/>
          <w:color w:val="auto"/>
        </w:rPr>
        <w:tab/>
      </w:r>
      <w:r>
        <w:rPr>
          <w:rFonts w:ascii="Times New Roman" w:cs="Times New Roman" w:eastAsia="Times New Roman" w:hAnsi="Times New Roman"/>
          <w:sz w:val="18"/>
          <w:szCs w:val="18"/>
          <w:u w:val="single" w:color="auto"/>
          <w:color w:val="0000FF"/>
        </w:rPr>
        <w:t>Press Release, dated June 16, 2026, regarding the registrant’s appointment of its new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669290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44"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300" w:type="dxa"/>
            <w:vAlign w:val="bottom"/>
          </w:tcPr>
          <w:p>
            <w:pPr>
              <w:spacing w:after="0"/>
              <w:rPr>
                <w:sz w:val="20"/>
                <w:szCs w:val="20"/>
                <w:color w:val="auto"/>
              </w:rPr>
            </w:pPr>
          </w:p>
        </w:tc>
        <w:tc>
          <w:tcPr>
            <w:tcW w:w="6840" w:type="dxa"/>
            <w:vAlign w:val="bottom"/>
            <w:gridSpan w:val="2"/>
          </w:tcPr>
          <w:p>
            <w:pPr>
              <w:ind w:left="1880"/>
              <w:spacing w:after="0"/>
              <w:rPr>
                <w:sz w:val="20"/>
                <w:szCs w:val="20"/>
                <w:color w:val="auto"/>
              </w:rPr>
            </w:pPr>
            <w:r>
              <w:rPr>
                <w:rFonts w:ascii="Times New Roman" w:cs="Times New Roman" w:eastAsia="Times New Roman" w:hAnsi="Times New Roman"/>
                <w:sz w:val="18"/>
                <w:szCs w:val="18"/>
                <w:b w:val="1"/>
                <w:bCs w:val="1"/>
                <w:color w:val="auto"/>
              </w:rPr>
              <w:t>GENEDX HOLDINGS CORP.</w:t>
            </w:r>
          </w:p>
        </w:tc>
      </w:tr>
      <w:tr>
        <w:trPr>
          <w:trHeight w:val="48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Date: June 16, 2026</w:t>
            </w:r>
          </w:p>
        </w:tc>
        <w:tc>
          <w:tcPr>
            <w:tcW w:w="268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4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Katherine Stueland</w:t>
            </w:r>
          </w:p>
        </w:tc>
      </w:tr>
      <w:tr>
        <w:trPr>
          <w:trHeight w:val="218"/>
        </w:trPr>
        <w:tc>
          <w:tcPr>
            <w:tcW w:w="3300" w:type="dxa"/>
            <w:vAlign w:val="bottom"/>
          </w:tcPr>
          <w:p>
            <w:pPr>
              <w:spacing w:after="0"/>
              <w:rPr>
                <w:sz w:val="18"/>
                <w:szCs w:val="18"/>
                <w:color w:val="auto"/>
              </w:rPr>
            </w:pPr>
          </w:p>
        </w:tc>
        <w:tc>
          <w:tcPr>
            <w:tcW w:w="268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Name:</w:t>
            </w:r>
          </w:p>
        </w:tc>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Katherine Stueland</w:t>
            </w:r>
          </w:p>
        </w:tc>
      </w:tr>
      <w:tr>
        <w:trPr>
          <w:trHeight w:val="234"/>
        </w:trPr>
        <w:tc>
          <w:tcPr>
            <w:tcW w:w="3300" w:type="dxa"/>
            <w:vAlign w:val="bottom"/>
          </w:tcPr>
          <w:p>
            <w:pPr>
              <w:spacing w:after="0"/>
              <w:rPr>
                <w:sz w:val="20"/>
                <w:szCs w:val="20"/>
                <w:color w:val="auto"/>
              </w:rPr>
            </w:pPr>
          </w:p>
        </w:tc>
        <w:tc>
          <w:tcPr>
            <w:tcW w:w="268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Title:</w:t>
            </w:r>
          </w:p>
        </w:tc>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927"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130175</wp:posOffset>
            </wp:positionV>
            <wp:extent cx="1474470" cy="3429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GeneDx Names Mark Gardner President to Lead Its Next Phase of Scale and Growth</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Former Quest Diagnostics leader joins to fuel operational and commercial execution</w:t>
      </w:r>
    </w:p>
    <w:p>
      <w:pPr>
        <w:spacing w:after="0" w:line="200" w:lineRule="exact"/>
        <w:rPr>
          <w:sz w:val="20"/>
          <w:szCs w:val="20"/>
          <w:color w:val="auto"/>
        </w:rPr>
      </w:pPr>
    </w:p>
    <w:p>
      <w:pPr>
        <w:spacing w:after="0" w:line="2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GAITHERSBURG, Md., June 16, 2026 — </w:t>
      </w:r>
      <w:r>
        <w:rPr>
          <w:rFonts w:ascii="Times New Roman" w:cs="Times New Roman" w:eastAsia="Times New Roman" w:hAnsi="Times New Roman"/>
          <w:sz w:val="18"/>
          <w:szCs w:val="18"/>
          <w:color w:val="auto"/>
        </w:rPr>
        <w:t>GeneDx Holdings Corp. (Nasdaq: WGS), the leader in rare disease diagnosis and improving health through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power of genomic data, today announced the appointment of Mark Gardner as President, effective June 15, 2026.</w:t>
      </w:r>
    </w:p>
    <w:p>
      <w:pPr>
        <w:spacing w:after="0" w:line="1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Reporting to Katherine Stueland, Chief Executive Officer, Gardner will lead GeneDx’s commercial and operations teams, with a focus on strengthening execution, scaling efficiently and expanding the company’s leadership in genomic medicine.</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“GeneDx has built a powerful foundation and is entering a stage where execution at scale matters more than ever,” said Stueland. “Mark brings nearly three decades of experience leading diagnostics, genomics, life sciences and healthcare technology businesses, including at some of the most complex commercial organizations in our industry. His leadership will be immediately valuable as we sharpen our commercial and operational focus.”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Gardner most recently served as Senior Vice President of Molecular Genomics and Oncology at Quest Diagnostics, where he led a large-scale oncology and genomics business and helped drive growth across precision medicine, rare disease and advanced diagnostic testing. Previously, he served as Chief Executive Officer of OmniSeq, a precision medicine company acquired by Labcorp, and held senior leadership roles at Thermo Fisher Scientific and Life Technologies, where he led global genomics, sequencing and life sciences businesses.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“GeneDx is uniquely positioned to help change how genetic disease is diagnosed and establish a new standard of care,” said Gardner. “I’m excited to join the team and help strengthen the commercial and operational capabilities needed to scale efficiently, execute with discipline and extend GeneDx’s leadership over the long term.”</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Gardner began his leadership career in the United States Navy, where he served as a P-3 Orion pilot and rose to the rank of Lieutenant Commander. He holds an MBA from The Wharton School at the University of Pennsylvania, a master’s degree in National Security Studies from Georgetown University, and a bachelor’s degree in history from the United States Naval Academy.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GeneDx</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GeneDx’s (Nasdaq: WGS) mission is to empower everyone to live their healthiest life through genomics. GeneDx combines unmatched clinical expertise, advanced technology, and the power of GeneDx Infinity™ – the world’s largest rare disease genomic dataset. This unparalleled foundation powers GeneDx’s ExomeDx™ and GenomeDx™ tests – ranked #1 by expert geneticists and granted FDA Breakthrough Device designation – enabling clinicians to deliver precise, fast, and actionable diagnoses. GeneDx Infinity also fuels discovery for biopharma, with the most powerful AI-driven genomic intelligence. A genomics pioneer over the last 25 years, diagnosing more than 4,800 genetic diseases and publishing more than 1,100 research publications, GeneDx is building the network that will drive the future of genomic precision medicine. For more information, visit genedx.com and connect with us on LinkedIn, Facebook, and Instagram.</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may contain “forward-looking statements” within the meaning of Section 21E of the Securities Exchange Act of 1934, as amended, and the U.S. Private Securities Litigation Reform Act of 1995. These forward-looking statements generally are identified by the words “believe,” “project,” “expect,” “anticipate,” “estimate,” “intend,” “strategy,” “future,” “opportunity,” “plan,” “may,” “should,” “will,” “would,” “will be,” “will continue,” “will likely result,” and similar expressions.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press release, including but not limited to: (i) our ability to implement business plans and identify and realize additional opportunities, (ii) the risk of downturns and a changing regulatory landscape in the highly competitive healthcare industry, (iii) the size and growth of the market in which we operate, and (iv) recalibrating for building long-term, durable performance. The foregoing list of factors is not exhaustive. A further list and description of risks, uncertainties and other matters can be found in the “Risk Factors” section of our Annual Report on Form 10-K for the fiscal year</w:t>
      </w:r>
    </w:p>
    <w:p>
      <w:pPr>
        <w:sectPr>
          <w:pgSz w:w="11900" w:h="16838" w:orient="portrait"/>
          <w:cols w:equalWidth="0" w:num="1">
            <w:col w:w="11240"/>
          </w:cols>
          <w:pgMar w:left="320" w:top="117" w:right="339" w:bottom="1440" w:gutter="0" w:footer="0" w:header="0"/>
        </w:sectPr>
      </w:pPr>
    </w:p>
    <w:bookmarkStart w:id="4" w:name="page5"/>
    <w:bookmarkEnd w:id="4"/>
    <w:p>
      <w:pPr>
        <w:jc w:val="both"/>
        <w:spacing w:after="0" w:line="277" w:lineRule="auto"/>
        <w:rPr>
          <w:sz w:val="20"/>
          <w:szCs w:val="20"/>
          <w:color w:val="auto"/>
        </w:rPr>
      </w:pPr>
      <w:r>
        <w:rPr>
          <w:rFonts w:ascii="Times New Roman" w:cs="Times New Roman" w:eastAsia="Times New Roman" w:hAnsi="Times New Roman"/>
          <w:sz w:val="17"/>
          <w:szCs w:val="17"/>
          <w:color w:val="auto"/>
        </w:rPr>
        <w:t>ended December 31, 2025 and our Quarterly Report on Form 10-Q for the fiscal quarter ended March 31, 2026, and other documents filed by us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we assume no obligation and do not intend to update or revise these forward-looking statements, whether as a result of new information, future events, or otherwise. We do not give any assurance that we will achieve our expectations.</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Investors@GeneDx.com</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Press@GeneDx.com</w:t>
      </w:r>
    </w:p>
    <w:sectPr>
      <w:pgSz w:w="11900" w:h="16838" w:orient="portrait"/>
      <w:cols w:equalWidth="0" w:num="1">
        <w:col w:w="11240"/>
      </w:cols>
      <w:pgMar w:left="320" w:top="109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2026-06-16T07:41:17Z</dcterms:created>
  <dcterms:modified xsi:type="dcterms:W3CDTF">2026-06-16T07:41:17Z</dcterms:modified>
</cp:coreProperties>
</file>