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388 43900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28539026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388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87"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01/29/2025 275</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21600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03/03/2025 261</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03/10/2025 922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03/13/2025 402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03/17/2025 3749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03/26/2025 8746</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04/09/2025 14270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1313700</w:t>
            </w:r>
          </w:p>
        </w:tc>
      </w:tr>
    </w:tbl>
    <w:p>
      <w:pPr>
        <w:spacing w:after="0" w:line="559" w:lineRule="exact"/>
        <w:rPr>
          <w:sz w:val="20"/>
          <w:szCs w:val="20"/>
          <w:color w:val="auto"/>
        </w:rPr>
      </w:pPr>
    </w:p>
    <w:p>
      <w:pPr>
        <w:sectPr>
          <w:pgSz w:w="11900" w:h="16887"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87"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Represents 388 shares to be sold on behalf of the Reporting Person to cover tax withholding obligations in connection with the vesting of restricted stock units, and shares sold in the past 3 months by the Reporting Person, including: 1) 14,355 shares sold to cover tax withholding obligations in connection with the vesting and settlement of RSUs; and 2) 14,270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04/29/2025</w:t>
      </w:r>
    </w:p>
    <w:p>
      <w:pPr>
        <w:spacing w:after="0" w:line="159" w:lineRule="exact"/>
        <w:rPr>
          <w:sz w:val="20"/>
          <w:szCs w:val="20"/>
          <w:color w:val="auto"/>
        </w:rPr>
      </w:pPr>
    </w:p>
    <w:p>
      <w:pPr>
        <w:sectPr>
          <w:pgSz w:w="11900" w:h="16887"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87"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2025-04-29T21:02:58Z</dcterms:created>
  <dcterms:modified xsi:type="dcterms:W3CDTF">2025-04-29T21:02:58Z</dcterms:modified>
</cp:coreProperties>
</file>